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jc w:val="center"/>
        <w:outlineLvl w:val="9"/>
        <w:rPr>
          <w:rFonts w:hint="default" w:ascii="Times New Roman" w:hAnsi="Times New Roman" w:eastAsia="华文中宋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highlight w:val="none"/>
        </w:rPr>
        <w:t>关于保障房房源管理的若干规定</w:t>
      </w:r>
    </w:p>
    <w:p>
      <w:pPr>
        <w:keepNext/>
        <w:keepLines/>
        <w:spacing w:line="600" w:lineRule="exact"/>
        <w:jc w:val="center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征求意见稿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为进一步完善本市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租购并举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的住房保障体系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提高保障房使用效率，促进保障房供需平衡，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不断满足人民群众对住房的多样化、多元化需求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，根据本市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各类保障房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政策规定，现制订保障房房源管理的若干规定如下：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一、房源管理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总体要求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根据国家总体要求，结合本市保障房供应和需求实际以及变化趋势，科学合理地编制保障房发展规划、年度计划，建立各类保障房的统一建设筹措和房源管理机制，有效实现供需平衡。各类保障房按照批准的用途和范围使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确需调整的，从租、售两方面构建各类保障房用途管理平台，结合实际有序操作，严格对各类保障房用途调整的管理。充分利用保障房在土地供应、建设、配套和税收方面的优惠政策，合理控制成本，使有限的公共资源配置发挥最大效用，促进保障房建设供应的可持续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二、房源管理范围和要求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保障房房源管理范围为廉租住房、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公共租赁住房、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保障性租赁住房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共有产权保障住房、征收安置住房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。上述保障房可根据国家任务计划安排和本市供需实际进行调整。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用途需调整的保障房已列入年度建设（筹措）计划上报的，统计考核不得重复计算。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三、房源用途调整方式与价格结算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用途调整为配售型保障性住房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征收安置住房用途调整为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的，原房地产开发企业可继续作为开发和销售主体；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项目结算价格以征收安置住房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结算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价格为基础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，并考虑装修、财务成本等因素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；征收安置住房的土地出让金不再另行结算；建设用地取得方式为划拨。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共有产权保障住房用途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调整为配售型保障性住房的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，原房地产开发企业可继续作为开发和销售主体；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配售型保障性住房项目结算价格以共有产权保障住房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结算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价格为基础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，并考虑装修、财务成本等因素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建设用地取得方式为划拨。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公共租赁住房或廉租住房用途调整为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的，租赁住房投资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机构（包括公共租赁住房运营机构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市公积金中心及其他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投资运营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机构，以下统称“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机构”）或区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机构作为开发销售主体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项目结算价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格以公共租赁住房、廉租住房项目结算价格或收购价格为基础，并考虑装修、财务成本等因素确定；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建设用地取得方式为划拨。</w:t>
      </w:r>
    </w:p>
    <w:p>
      <w:pPr>
        <w:spacing w:line="600" w:lineRule="exact"/>
        <w:ind w:firstLine="640" w:firstLineChars="200"/>
        <w:jc w:val="both"/>
        <w:rPr>
          <w:rFonts w:hint="eastAsia" w:ascii="楷体_GB2312" w:hAnsi="楷体_GB2312" w:eastAsia="仿宋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价格及其差价管理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的具体办法另行制订。</w:t>
      </w:r>
    </w:p>
    <w:p>
      <w:pPr>
        <w:spacing w:line="60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用途调整为征收安置住房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用途调整为征收安置住房的，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房地产开发企业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作为开发和销售主体，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土地出让金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。征收安置住房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项目结算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价格以共有产权保障住房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结算价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和补缴的土地出让金等费用为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确定，房源供应价格及其差价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按照本市征收安置住房管理规定执行；建设用地取得方式为出让。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公共租赁住房或廉租住房用途调整为征收安置住房的，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机构作为开发销售主体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土地出让金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。征收安置住房的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结算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公共租赁住房或廉租住房项目结算价格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或收购价格、补缴的土地出让金等费用为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确定，房源供应价格及其差价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按照本市征收安置住房管理规定执行；建设用地取得方式为出让。</w:t>
      </w:r>
    </w:p>
    <w:p>
      <w:pPr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（三）用途调整为保障性租赁住房、公共租赁住房或廉租住房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征收安置住房用途调整为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保障性租赁住房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、公共租赁住房或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廉租住房的，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区政府指定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征收安置住房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项目结算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价格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为基础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予以收购；建设用地取得方式为出让。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保障性租赁住房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、公共租赁住房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或廉租住房的，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区政府指定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项目结算价格或收购价格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为基础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予以收购；建设用地取得方式为划拨。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（四）配建保障房用途调整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按照本市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商品住房项目配建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保障房规定配建的共有产权保障住房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保障性租赁住房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公共租赁住房、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廉租住房，或者配建的公共租赁住房、廉租住房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的，运营机构或区政府指定机构作为项目运营或销售主体；建设用地取得方式为出让。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四、房源用途调整程序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用途调整为配售型保障性住房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征收安置住房、共有产权保障住房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房地产开发企业提出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用途调整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提交建设协议书、建设项目原批准文件等材料。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区级项目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区房屋管理部门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提出申请，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区房屋管理部门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会同区规划资源部门初审，经区政府同意后，报市房屋管理部门复核；市级项目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向市房屋管理部门提出申请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房屋管理部门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会同市规划资源部门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项目所在地区政府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共同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。对符合条件的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，由市房屋管理部门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出具认定文件，并抄送市规划资源部门和项目所在地区政府。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公共租赁住房或廉租住房用途调整为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的，按照以下程序办理：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市级项目由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机构向市房屋管理部门提出申请，并提交建设项目原批准文件或原收购合同等材料；区级项目由区政府向市房屋管理部门提出申请。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市房屋管理部门会同市发展改革、住房城乡建设管理、财政、规划资源等部门和项目所在地区政府共同审核，出具认定文件。认定文件应同时抄送项目所在地区政府及相关部门。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用途调整为征收安置住房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用途调整为征收安置住房的，按照以下程序办理：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房地产开发企业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机构提出用途调整申请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，应提交建设协议书、建设项目原批准文件等材料。其中，市级项目向市房屋管理部门提出申请，区级项目向区房屋管理部门提出申请。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级项目由市房屋管理部门对申报材料予以核实，并会同市发展改革、住房城乡建设管理、财政、规划资源等部门和项目所在地区政府共同审核，出具认定文件。区级项目由区房屋管理部门对申报材料予以核实，并在征询区规划资源部门意见后，出具初审意见书，经区政府同意后，报市房屋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复核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市房屋管理部门会同市发展改革、住房城乡建设管理、财政、规划资源等部门共同审核，出具认定文件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认定文件应同时抄送项目所在地区政府及相关部门。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根据认定文件，房地产开发企业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补缴土地出让金等费用。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公共租赁住房或廉租住房用途调整为征收安置住房的，按照以下程序办理：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市级项目由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机构向市房屋管理部门提出申请，并提交建设项目原批准文件或原收购合同等材料；区级项目由区政府向市房屋管理部门提出申请。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市房屋管理部门会同市发展改革、住房城乡建设管理、财政、规划资源等部门和项目所在地区政府共同审核，出具认定文件。认定文件应同时抄送项目所在地区政府及相关部门。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经批准用途调整为征收安置住房的，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按规定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补缴土地出让金等费用。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用途调整为保障性租赁住房、公共租赁住房或廉租住房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征收安置住房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或配售型保障性住房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保障性租赁住房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、公共租赁住房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廉租住房的，按照以下程序办理：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房地产开发企业会同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机构共同提出用途调整申请，并提交建设协议书、建设项目原批准文件等材料。其中，市级项目向市房屋管理部门提出申请，区级项目向区房屋管理部门提出申请。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市和区房屋管理部门分别按照以下要求办理：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（1）市房屋管理部门对市级项目的申报材料予以核实，会同项目所在地区政府审核后，出具初审意见书，经征询市规划资源部门意见后，对符合要求的房源出具认定文件，并抄送市规划资源部门和项目所在地区政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（2）区房屋管理部门对区级项目的申报材料予以核实，征询区规划资源部门意见后，出具初审意见书，报区政府批准后，出具认定文件，并送市房屋管理部门备案。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根据认定文件并在办理房屋所有权首次登记后，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机构与房地产开发企业签订收购协议。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  <w:t>配建保障房用途调整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按照本市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商品住房项目配建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保障房规定配建的共有产权保障住房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保障性租赁住房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公共租赁住房、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廉租住房，或者配建的公共租赁住房、廉租住房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、共有产权保障住房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用途调整为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，按照以下程序办理：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政府指定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机构向区房屋管理部门提出用途调整申请，并提交土地出让合同、建设项目协议书等材料。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区房屋管理部门出具初审意见书，报区政府批准后，出具认定文件，并送市房屋管理部门备案。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eastAsia="zh-CN"/>
        </w:rPr>
        <w:t>其他保障房用途调整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其他上述未提及或多用途保障房的用途调整，按照“一事一议”原则，报市房屋管理部门会同市住房城乡建设管理、发展改革、规划资源、财政等部门联合审批，并由市房屋管理部门出具认定文件。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五、不动产登记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批准用途调整的保障房，应根据用途调整后的保障房种类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和产权人变化情况，办理不动产登记手续和楼盘表“房屋标志”。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配售型保障性住房登记的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具体办法，由市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规划资源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部门另行制定。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六、其他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未开工建设的保障房项目需用途调整的，可依原程序，在重新办理保障房项目认定后实施。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对属于本市政府部门核发且已归集到电子证照库的申请材料，能通过调用电子证照等途径获取的，申请人免于提交纸质材料。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本规定自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2024年X月X日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起施行，有效期至202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的具体应用问题，由市住房城乡建设、房屋管理、发展改革、规划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资源、财政等部门按照各自职责负责解释。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上海市住房和城乡建设管理委员会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上海市房屋管理局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上海市发展和改革委员会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上海市规划和自然资源局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上海市财政局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1D320AB9"/>
    <w:rsid w:val="1D320AB9"/>
    <w:rsid w:val="5F2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eastAsia="宋体"/>
      <w:sz w:val="28"/>
    </w:rPr>
  </w:style>
  <w:style w:type="paragraph" w:styleId="8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2024-06-07T09:53:00Z</dcterms:created>
  <dc:creator>宁静致远i</dc:creator>
  <cp:lastModifiedBy>宁静致远i</cp:lastModifiedBy>
  <dcterms:modified xsi:type="dcterms:W3CDTF">2024-06-07T09:55:46Z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B5A072851A9746B4A5612DCD0500B40A_11</vt:lpwstr>
  </property>
</Properties>
</file>