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</w:p>
    <w:p>
      <w:pPr>
        <w:pStyle w:val="7"/>
        <w:ind w:left="0" w:leftChars="0" w:firstLine="0" w:firstLineChars="0"/>
        <w:jc w:val="center"/>
        <w:rPr>
          <w:rFonts w:hint="eastAsia" w:ascii="黑体" w:eastAsia="黑体"/>
          <w:sz w:val="36"/>
          <w:szCs w:val="36"/>
        </w:rPr>
      </w:pPr>
    </w:p>
    <w:p>
      <w:pPr>
        <w:pStyle w:val="7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-SA"/>
        </w:rPr>
        <w:t>《上海市国有土地上非居住房屋征收停产停业损失</w:t>
      </w:r>
    </w:p>
    <w:p>
      <w:pPr>
        <w:pStyle w:val="7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-SA"/>
        </w:rPr>
        <w:t>补偿办法（征求意见稿）》的修订说明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根据《上海市国有土地上房屋征收与补偿实施细则》（2011年10月19日市政府令第71号公布，根据2024年4月2日市政府令第13号第1次修正，根据2025年  月  日市政府令第  号第2次修正）第三十五条第一款规定，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因征收非居住房屋造成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被征收人、公有房屋承租人停产停业损失的补偿标准，由市房屋行政管理部门会同相关行政管理部门，根据国家规定和本市实际拟订，报市人民政府批准后执行。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现市房屋管理局会同市规划资源局等相关行政部门，制定了《上海市国有土地上非居住房屋征收停产停业损失补偿办法（征求意见稿）》，并面向社会公开征集意见和建议。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109FD"/>
    <w:rsid w:val="2EF61679"/>
    <w:rsid w:val="6001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next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Text1I2"/>
    <w:basedOn w:val="8"/>
    <w:qFormat/>
    <w:uiPriority w:val="0"/>
    <w:pPr>
      <w:spacing w:after="120"/>
      <w:ind w:left="420" w:leftChars="200" w:firstLine="420" w:firstLineChars="200"/>
      <w:textAlignment w:val="baseline"/>
    </w:pPr>
    <w:rPr>
      <w:szCs w:val="24"/>
    </w:rPr>
  </w:style>
  <w:style w:type="paragraph" w:customStyle="1" w:styleId="8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2025-01-14T05:45:00Z</dcterms:created>
  <dc:creator>宁静致远i</dc:creator>
  <cp:lastModifiedBy>宁静致远i</cp:lastModifiedBy>
  <dcterms:modified xsi:type="dcterms:W3CDTF">2025-01-14T06:11:26Z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