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/>
        <w:spacing w:after="0" w:line="600" w:lineRule="exact"/>
        <w:rPr>
          <w:rFonts w:hint="eastAsia" w:ascii="黑体" w:hAnsi="黑体" w:eastAsia="黑体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autoSpaceDE w:val="0"/>
        <w:autoSpaceDN w:val="0"/>
        <w:adjustRightInd w:val="0"/>
        <w:snapToGrid/>
        <w:spacing w:after="0" w:line="60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snapToGrid/>
        <w:spacing w:after="0" w:line="640" w:lineRule="exact"/>
        <w:jc w:val="center"/>
        <w:rPr>
          <w:rFonts w:ascii="华文中宋" w:hAnsi="华文中宋" w:eastAsia="华文中宋" w:cs="Times New Roman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既有多层住宅加装电梯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实施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方案</w:t>
      </w:r>
    </w:p>
    <w:p>
      <w:pPr>
        <w:autoSpaceDE w:val="0"/>
        <w:autoSpaceDN w:val="0"/>
        <w:adjustRightInd w:val="0"/>
        <w:snapToGrid/>
        <w:spacing w:after="0" w:line="640" w:lineRule="exact"/>
        <w:jc w:val="center"/>
        <w:rPr>
          <w:rFonts w:ascii="楷体_GB2312" w:hAnsi="楷体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sz w:val="32"/>
          <w:szCs w:val="32"/>
        </w:rPr>
        <w:t>（示范文本）</w:t>
      </w:r>
    </w:p>
    <w:p>
      <w:pPr>
        <w:autoSpaceDE w:val="0"/>
        <w:autoSpaceDN w:val="0"/>
        <w:adjustRightInd w:val="0"/>
        <w:snapToGrid/>
        <w:spacing w:after="0" w:line="640" w:lineRule="exact"/>
        <w:jc w:val="center"/>
        <w:rPr>
          <w:rFonts w:ascii="楷体_GB2312" w:hAnsi="楷体" w:eastAsia="楷体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640" w:lineRule="exact"/>
        <w:textAlignment w:val="auto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上海市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路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弄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小区相关业主：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为切实解决居民上下楼困难，提高居住品质，基于广大业主对既有多层住宅加装电梯的意愿，经充分酝酿讨论，拟在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小区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号（以下简称“本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”）加装电梯。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left="1360" w:hanging="72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加装电梯的具体部位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加装电梯位置位于本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房屋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（东</w:t>
      </w:r>
      <w:r>
        <w:rPr>
          <w:rFonts w:ascii="仿宋_GB2312" w:eastAsia="仿宋_GB2312" w:cs="仿宋_GB2312"/>
          <w:sz w:val="32"/>
          <w:szCs w:val="32"/>
          <w:u w:val="single"/>
        </w:rPr>
        <w:t>/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南</w:t>
      </w:r>
      <w:r>
        <w:rPr>
          <w:rFonts w:ascii="仿宋_GB2312" w:eastAsia="仿宋_GB2312" w:cs="仿宋_GB2312"/>
          <w:sz w:val="32"/>
          <w:szCs w:val="32"/>
          <w:u w:val="single"/>
        </w:rPr>
        <w:t>/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西</w:t>
      </w:r>
      <w:r>
        <w:rPr>
          <w:rFonts w:ascii="仿宋_GB2312" w:eastAsia="仿宋_GB2312" w:cs="仿宋_GB2312"/>
          <w:sz w:val="32"/>
          <w:szCs w:val="32"/>
          <w:u w:val="single"/>
        </w:rPr>
        <w:t>/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北</w:t>
      </w:r>
      <w:r>
        <w:rPr>
          <w:rFonts w:ascii="仿宋_GB2312" w:eastAsia="仿宋_GB2312" w:cs="仿宋_GB2312"/>
          <w:sz w:val="32"/>
          <w:szCs w:val="32"/>
          <w:u w:val="single"/>
        </w:rPr>
        <w:t>/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…）</w:t>
      </w:r>
      <w:r>
        <w:rPr>
          <w:rFonts w:hint="eastAsia" w:ascii="仿宋_GB2312" w:eastAsia="仿宋_GB2312" w:cs="仿宋_GB2312"/>
          <w:sz w:val="32"/>
          <w:szCs w:val="32"/>
        </w:rPr>
        <w:t>面，本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的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</w:rPr>
        <w:t>部位。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left="1360" w:hanging="72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加装电梯的入户方式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加装电梯采用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（平层</w:t>
      </w:r>
      <w:r>
        <w:rPr>
          <w:rFonts w:ascii="仿宋_GB2312" w:eastAsia="仿宋_GB2312" w:cs="仿宋_GB2312"/>
          <w:sz w:val="32"/>
          <w:szCs w:val="32"/>
          <w:u w:val="single"/>
        </w:rPr>
        <w:t>/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>错层）</w:t>
      </w:r>
      <w:r>
        <w:rPr>
          <w:rFonts w:hint="eastAsia" w:ascii="仿宋_GB2312" w:eastAsia="仿宋_GB2312" w:cs="仿宋_GB2312"/>
          <w:sz w:val="32"/>
          <w:szCs w:val="32"/>
        </w:rPr>
        <w:t>入户方式。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firstLine="630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、加装电梯所有权人</w:t>
      </w: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firstLine="63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加装电梯所有权人为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本单元</w:t>
      </w:r>
      <w:r>
        <w:rPr>
          <w:rFonts w:hint="eastAsia" w:ascii="仿宋_GB2312" w:eastAsia="仿宋_GB2312" w:cs="仿宋_GB2312"/>
          <w:sz w:val="32"/>
          <w:szCs w:val="32"/>
        </w:rPr>
        <w:t>全体出资人，各出资人按照出资份额享有加装电梯所有权份额。加装电梯所有权人享有加装电梯相关权利并承担相关义务。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firstLine="63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四、前期建设资金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firstLine="630"/>
        <w:textAlignment w:val="auto"/>
        <w:rPr>
          <w:rFonts w:ascii="楷体_GB2312" w:eastAsia="楷体_GB2312" w:cs="Times New Roman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（一）专项账户开设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为保障电梯工程建设资金（含设计、土建、电梯及电梯安装等费用）安全，同意将建设资金存入由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 w:cs="仿宋_GB2312"/>
          <w:sz w:val="32"/>
          <w:szCs w:val="32"/>
        </w:rPr>
        <w:t>设立的加装电梯专项账户。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开户行名称：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开户行账号：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firstLine="630"/>
        <w:textAlignment w:val="auto"/>
        <w:rPr>
          <w:rFonts w:asci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</w:rPr>
        <w:t>（二）建设资金筹措</w:t>
      </w:r>
      <w:r>
        <w:rPr>
          <w:rFonts w:ascii="楷体_GB2312" w:eastAsia="楷体_GB2312" w:cs="楷体_GB2312"/>
          <w:b/>
          <w:bCs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jc w:val="distribute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初步测算，本加装电梯工程建设资金总费用约人民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币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万元，费用由本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出资加装电梯的业主（以下简称“出资人”）自筹。本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各室号的出资比例及金额如下表：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jc w:val="center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表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：各室号加装电梯出资比例及金额（单位：元）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786"/>
        <w:gridCol w:w="2180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室号</w:t>
            </w:r>
          </w:p>
        </w:tc>
        <w:tc>
          <w:tcPr>
            <w:tcW w:w="1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出资比例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出资金额</w:t>
            </w:r>
          </w:p>
        </w:tc>
        <w:tc>
          <w:tcPr>
            <w:tcW w:w="17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auto"/>
                <w:sz w:val="32"/>
                <w:szCs w:val="32"/>
                <w:lang w:eastAsia="zh-CN"/>
              </w:rPr>
              <w:t>其中：预估补贴金额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1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10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/>
                <w:sz w:val="32"/>
                <w:szCs w:val="32"/>
              </w:rPr>
              <w:t>100%</w:t>
            </w:r>
          </w:p>
        </w:tc>
        <w:tc>
          <w:tcPr>
            <w:tcW w:w="12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7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40" w:lineRule="exact"/>
              <w:jc w:val="center"/>
              <w:textAlignment w:val="auto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若本方案经依法表决通过，但本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内有业主投反对票的，表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中所列的投反对票的室号对应的出资金额按照以下第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种规则进行分摊：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由本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同意加装电梯的业主按照表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所列的出资金额比例进行分摊；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由相应楼层同意加装电梯的业主</w:t>
      </w:r>
      <w:r>
        <w:rPr>
          <w:rFonts w:hint="eastAsia" w:ascii="仿宋_GB2312" w:eastAsia="仿宋_GB2312" w:cs="仿宋_GB2312"/>
          <w:sz w:val="32"/>
          <w:szCs w:val="32"/>
          <w:lang w:val="en" w:eastAsia="zh-CN"/>
        </w:rPr>
        <w:t>按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  <w:lang w:val="en" w:eastAsia="zh-CN"/>
        </w:rPr>
        <w:t>户数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/面积/人数）</w:t>
      </w:r>
      <w:r>
        <w:rPr>
          <w:rFonts w:hint="eastAsia" w:ascii="仿宋_GB2312" w:eastAsia="仿宋_GB2312" w:cs="仿宋_GB2312"/>
          <w:sz w:val="32"/>
          <w:szCs w:val="32"/>
        </w:rPr>
        <w:t>均摊；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其他：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出资人与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代建</w:t>
      </w:r>
      <w:r>
        <w:rPr>
          <w:rFonts w:hint="eastAsia" w:ascii="仿宋_GB2312" w:eastAsia="仿宋_GB2312" w:cs="仿宋_GB2312"/>
          <w:sz w:val="32"/>
          <w:szCs w:val="32"/>
        </w:rPr>
        <w:t>单位签订相关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委托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代建合同</w:t>
      </w:r>
      <w:r>
        <w:rPr>
          <w:rFonts w:hint="eastAsia" w:ascii="仿宋_GB2312" w:eastAsia="仿宋_GB2312" w:cs="仿宋_GB2312"/>
          <w:sz w:val="32"/>
          <w:szCs w:val="32"/>
        </w:rPr>
        <w:t>后，根据相关约定，于开工</w:t>
      </w:r>
      <w:r>
        <w:rPr>
          <w:rFonts w:ascii="仿宋_GB2312" w:eastAsia="仿宋_GB2312" w:cs="仿宋_GB2312"/>
          <w:sz w:val="32"/>
          <w:szCs w:val="32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日前将上述费用交至加装电梯专项账户。建设过程中若资金有缺额的，由出资人按上述约定比例补足。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加装电梯工程符合政府加装电梯专项补贴资金申请条件的，委托</w:t>
      </w:r>
      <w:r>
        <w:rPr>
          <w:rFonts w:hint="eastAsia" w:asci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 w:cs="仿宋_GB2312"/>
          <w:sz w:val="32"/>
          <w:szCs w:val="32"/>
        </w:rPr>
        <w:t>代为申请财政补贴资金。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firstLine="630"/>
        <w:textAlignment w:val="auto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（三）竣工后资金处置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left="798" w:leftChars="304" w:hanging="160" w:hangingChars="5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竣工后，加装电梯专项账户内剩余的资金，按照下列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textAlignment w:val="auto"/>
        <w:rPr>
          <w:rFonts w:hint="eastAsia" w:asci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第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种方式进行处置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转存入加装电梯管理经费账户；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</w:rPr>
        <w:t>按出资比例退还给出资人；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hint="eastAsia" w:ascii="仿宋_GB2312" w:eastAsia="仿宋_GB2312" w:cs="仿宋_GB2312"/>
          <w:sz w:val="32"/>
          <w:szCs w:val="32"/>
        </w:rPr>
        <w:t>其他：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977"/>
        </w:tabs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firstLine="63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、加装电梯协议的签订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本方案依法表决通过后，加装电梯出资人将在协商一致的基础上签署加装电梯协议，明确约定加装电梯的所有权归属、使用规则和费用分摊等事项。本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内居民应当遵守相关使用管理规则。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jc w:val="lef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单元</w:t>
      </w:r>
      <w:r>
        <w:rPr>
          <w:rFonts w:hint="eastAsia" w:ascii="仿宋_GB2312" w:eastAsia="仿宋_GB2312" w:cs="仿宋_GB2312"/>
          <w:sz w:val="32"/>
          <w:szCs w:val="32"/>
        </w:rPr>
        <w:t>内公有住房，由公有住房承租人参与加装电梯的协商及签订，并依法享有和承担加装电梯相关的权利义务。公有住房出租人不参与加装电梯相关协议的协商及签订，也不享有和承担加装电梯相关的权利和义务。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4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left="-840" w:leftChars="-400"/>
        <w:jc w:val="righ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小区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路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弄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号业主小组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after="0" w:line="640" w:lineRule="exact"/>
        <w:ind w:left="-840" w:leftChars="-400"/>
        <w:jc w:val="righ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（业主委员会</w:t>
      </w:r>
      <w:r>
        <w:rPr>
          <w:rFonts w:ascii="仿宋_GB2312" w:eastAsia="仿宋_GB2312" w:cs="仿宋_GB2312"/>
          <w:sz w:val="32"/>
          <w:szCs w:val="32"/>
        </w:rPr>
        <w:t>/</w:t>
      </w:r>
      <w:r>
        <w:rPr>
          <w:rFonts w:hint="eastAsia" w:ascii="仿宋_GB2312" w:eastAsia="仿宋_GB2312" w:cs="仿宋_GB2312"/>
          <w:sz w:val="32"/>
          <w:szCs w:val="32"/>
        </w:rPr>
        <w:t>居委会代章）</w:t>
      </w:r>
    </w:p>
    <w:p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2F33F8"/>
    <w:multiLevelType w:val="multilevel"/>
    <w:tmpl w:val="7E2F33F8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2024-10-21T08:22:14Z</dcterms:created>
  <dc:creator>Administrator</dc:creator>
  <cp:lastModifiedBy>宁静致远i</cp:lastModifiedBy>
  <dcterms:modified xsi:type="dcterms:W3CDTF">2024-10-21T08:22:18Z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