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仿宋_GB2312" w:eastAsia="仿宋_GB2312"/>
          <w:sz w:val="32"/>
          <w:szCs w:val="32"/>
          <w:lang w:eastAsia="zh-CN"/>
        </w:rPr>
      </w:pPr>
      <w:r>
        <w:rPr>
          <w:rFonts w:hint="eastAsia" w:ascii="仿宋_GB2312" w:eastAsia="仿宋_GB2312"/>
          <w:sz w:val="32"/>
          <w:szCs w:val="32"/>
        </w:rPr>
        <w:t>附件</w:t>
      </w:r>
      <w:r>
        <w:rPr>
          <w:rFonts w:hint="eastAsia" w:ascii="仿宋_GB2312" w:eastAsia="仿宋_GB2312"/>
          <w:sz w:val="32"/>
          <w:szCs w:val="32"/>
          <w:lang w:val="en-US" w:eastAsia="zh-CN"/>
        </w:rPr>
        <w:t>2</w:t>
      </w:r>
    </w:p>
    <w:p>
      <w:pPr>
        <w:spacing w:line="360" w:lineRule="auto"/>
        <w:jc w:val="both"/>
        <w:rPr>
          <w:rFonts w:ascii="仿宋_GB2312" w:eastAsia="仿宋_GB2312"/>
          <w:sz w:val="32"/>
          <w:szCs w:val="32"/>
        </w:rPr>
      </w:pPr>
    </w:p>
    <w:p>
      <w:pPr>
        <w:spacing w:line="600" w:lineRule="exact"/>
        <w:jc w:val="center"/>
        <w:rPr>
          <w:rFonts w:ascii="华文中宋" w:hAnsi="华文中宋" w:eastAsia="华文中宋" w:cs="华文中宋"/>
          <w:b/>
          <w:bCs/>
          <w:color w:val="000000" w:themeColor="text1"/>
          <w:sz w:val="36"/>
          <w:szCs w:val="36"/>
          <w14:textFill>
            <w14:solidFill>
              <w14:schemeClr w14:val="tx1"/>
            </w14:solidFill>
          </w14:textFill>
        </w:rPr>
      </w:pPr>
      <w:r>
        <w:rPr>
          <w:rFonts w:hint="eastAsia" w:ascii="华文中宋" w:hAnsi="华文中宋" w:eastAsia="华文中宋" w:cs="华文中宋"/>
          <w:b/>
          <w:bCs/>
          <w:color w:val="000000" w:themeColor="text1"/>
          <w:sz w:val="36"/>
          <w:szCs w:val="36"/>
          <w14:textFill>
            <w14:solidFill>
              <w14:schemeClr w14:val="tx1"/>
            </w14:solidFill>
          </w14:textFill>
        </w:rPr>
        <w:t>《上海市旧住房成套改造和拆除重建实施管理办法（征求意见稿）》起草说明</w:t>
      </w:r>
    </w:p>
    <w:p>
      <w:pPr>
        <w:spacing w:line="600" w:lineRule="exact"/>
        <w:jc w:val="center"/>
        <w:rPr>
          <w:rFonts w:ascii="华文中宋" w:hAnsi="华文中宋" w:eastAsia="华文中宋" w:cs="华文中宋"/>
          <w:b/>
          <w:bCs/>
          <w:color w:val="000000" w:themeColor="text1"/>
          <w:sz w:val="36"/>
          <w:szCs w:val="36"/>
          <w14:textFill>
            <w14:solidFill>
              <w14:schemeClr w14:val="tx1"/>
            </w14:solidFill>
          </w14:textFill>
        </w:rPr>
      </w:pPr>
    </w:p>
    <w:p>
      <w:pPr>
        <w:spacing w:line="600" w:lineRule="exact"/>
        <w:ind w:firstLine="643" w:firstLineChars="200"/>
        <w:rPr>
          <w:rFonts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rPr>
        <w:t>一、制定必要性</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2021年8月，市人大公布《上海市城市更新条例》，明确了拆除重建和成套改造的原则性要求。</w:t>
      </w:r>
      <w:r>
        <w:rPr>
          <w:rFonts w:hint="eastAsia" w:ascii="仿宋_GB2312" w:hAnsi="仿宋_GB2312" w:eastAsia="仿宋_GB2312" w:cs="仿宋_GB2312"/>
          <w:sz w:val="32"/>
          <w:szCs w:val="32"/>
          <w:lang w:val="en-US" w:eastAsia="zh-CN"/>
        </w:rPr>
        <w:t>2022年，</w:t>
      </w:r>
      <w:r>
        <w:rPr>
          <w:rFonts w:hint="eastAsia" w:ascii="Times New Roman" w:hAnsi="Times New Roman" w:eastAsia="仿宋_GB2312" w:cs="Times New Roman"/>
          <w:kern w:val="2"/>
          <w:sz w:val="32"/>
          <w:szCs w:val="32"/>
          <w:lang w:val="en-US" w:eastAsia="zh-CN" w:bidi="ar"/>
        </w:rPr>
        <w:t>本</w:t>
      </w:r>
      <w:r>
        <w:rPr>
          <w:rFonts w:hint="default" w:ascii="Times New Roman" w:hAnsi="Times New Roman" w:eastAsia="仿宋_GB2312" w:cs="Times New Roman"/>
          <w:kern w:val="2"/>
          <w:sz w:val="32"/>
          <w:szCs w:val="32"/>
          <w:lang w:val="en-US" w:eastAsia="zh-CN" w:bidi="ar"/>
        </w:rPr>
        <w:t>市印发《关于加快推进旧区改造、旧住房成套改造和“城中村”改造工作的实施意见》，明确分三个阶段、花十年时间提速扩容推进不成套职工住宅改造。</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为了加快推进旧住房成套改造工作，</w:t>
      </w:r>
      <w:r>
        <w:rPr>
          <w:rFonts w:hint="eastAsia" w:ascii="仿宋_GB2312" w:hAnsi="仿宋_GB2312" w:eastAsia="仿宋_GB2312" w:cs="仿宋_GB2312"/>
          <w:sz w:val="32"/>
          <w:szCs w:val="32"/>
          <w:lang w:val="en-US" w:eastAsia="zh-CN"/>
        </w:rPr>
        <w:t>市住房城乡建设管理委、市房屋管理局、市规划资源局、市发展改革委于2023年联合印发了</w:t>
      </w:r>
      <w:r>
        <w:rPr>
          <w:rFonts w:hint="eastAsia" w:ascii="仿宋_GB2312" w:hAnsi="仿宋_GB2312" w:eastAsia="仿宋_GB2312" w:cs="仿宋_GB2312"/>
          <w:sz w:val="32"/>
          <w:szCs w:val="32"/>
        </w:rPr>
        <w:t>《上海市旧住房成套改造和拆除重建实施管理办法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。该办法</w:t>
      </w:r>
      <w:r>
        <w:rPr>
          <w:rFonts w:hint="eastAsia" w:ascii="仿宋_GB2312" w:hAnsi="仿宋_GB2312" w:eastAsia="仿宋_GB2312" w:cs="仿宋_GB2312"/>
          <w:sz w:val="32"/>
          <w:szCs w:val="32"/>
          <w:lang w:val="en-US" w:eastAsia="zh-CN"/>
        </w:rPr>
        <w:t>自2023年2月1日起试行，有效期至2026年12月31日。</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《管理办法》试行以来，对成套改造项目加快推进、规范化管理提供了重要制度支撑，试行期间未发现制度适用争议、合规瑕疵等问题，具备了正式施行的基础，现拟将该办法转为正式施行。</w:t>
      </w:r>
    </w:p>
    <w:p>
      <w:pPr>
        <w:spacing w:line="600" w:lineRule="exact"/>
        <w:ind w:firstLine="643" w:firstLineChars="200"/>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lang w:eastAsia="zh-CN"/>
        </w:rPr>
        <w:t>二</w:t>
      </w:r>
      <w:r>
        <w:rPr>
          <w:rFonts w:hint="eastAsia" w:ascii="方正黑体_GBK" w:hAnsi="方正黑体_GBK" w:eastAsia="方正黑体_GBK" w:cs="方正黑体_GBK"/>
          <w:b/>
          <w:sz w:val="32"/>
          <w:szCs w:val="32"/>
        </w:rPr>
        <w:t>、《管理办法》的主要内容</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管理办法共22条。主要内容如下：</w:t>
      </w:r>
    </w:p>
    <w:p>
      <w:pPr>
        <w:spacing w:line="600" w:lineRule="exact"/>
        <w:ind w:firstLine="643" w:firstLineChars="200"/>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（一）进一步明确适用范围</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明确了适用于以成套改造或者拆除重建方式，对本市公有旧住房以及与公有旧住房同属更新范围的私有房屋实施的更新活动及其管理。</w:t>
      </w:r>
    </w:p>
    <w:p>
      <w:pPr>
        <w:spacing w:line="600" w:lineRule="exact"/>
        <w:ind w:firstLine="643" w:firstLineChars="200"/>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（二）进一步明确实施主体</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公有旧住房的产权单位或受托经营单位应作为实施主体，并对权属不明晰的、有两个以上公房产权单位的、无法协商确定的，明确了由区房屋管理部门报区人民政府批准确定实施主体。同时，实施主体可委托第三方承担改造具体工作，做好对第三方的监督管理。</w:t>
      </w:r>
    </w:p>
    <w:p>
      <w:pPr>
        <w:spacing w:line="600" w:lineRule="exact"/>
        <w:ind w:firstLine="643" w:firstLineChars="200"/>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（三）完善实施流程</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结工作实践经验，进一步完善工程实施流程，明确了组织评估、计划制定、规划研究方案、规划设计方案、旧住房更新实施方案、意见征询、方案认定、协议签订、工程建设监管和不动产登记的全流程实施管理要求。</w:t>
      </w:r>
    </w:p>
    <w:p>
      <w:pPr>
        <w:spacing w:line="600" w:lineRule="exact"/>
        <w:ind w:firstLine="643" w:firstLineChars="200"/>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（四）明确意愿征询和签约比例要求</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经项目范围内80%以上的公房承租人、私有房屋产权人同意后，可启动实施；规划设计方案和旧住房更新实施方案应充分征求项目更新范围内公房承租人和私有房屋产权人的意见，并不断优化完善；旧住房更新实施方案应经区房屋管理部门同意；协议签订比例达95%以上的，协议方可生效。</w:t>
      </w:r>
    </w:p>
    <w:p>
      <w:pPr>
        <w:spacing w:line="600" w:lineRule="exact"/>
        <w:ind w:firstLine="643" w:firstLineChars="200"/>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（五）明确实施方案和协议内容</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明确旧住房更新实施方案应当包含实施单位、更新范围、安置方式、协议生效条件、房屋类型及权属情况、工程周期等内容。协议应当包含协议有效期、权利义务、违约责任、回搬方案或安置方案等内容。</w:t>
      </w:r>
    </w:p>
    <w:p>
      <w:pPr>
        <w:spacing w:line="600" w:lineRule="exact"/>
        <w:ind w:firstLine="643" w:firstLineChars="200"/>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（六）增加争议处理内容</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增加了对于协议生效后，公房承租人、私有房屋产权人拒不配合实施的情形，可开展政府调解和行政决定的内容。</w:t>
      </w:r>
    </w:p>
    <w:p>
      <w:pPr>
        <w:spacing w:line="600" w:lineRule="exact"/>
        <w:ind w:firstLine="643" w:firstLineChars="200"/>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（七）进一步加大规划土地支持力度</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旧住房更新可以按照规划适当增加建筑量。旧住房更新项目相邻不具备独立开发条件的零星土地，可通过扩大用地方式结合改造。旧住房更新中用地边界受限的，可结合周边用地，在各类用地面积总量保持不变的前提下，根据规划优化后明确的用地边界，办理相关土地手续后，实施项目建设。</w:t>
      </w:r>
    </w:p>
    <w:p>
      <w:pPr>
        <w:numPr>
          <w:ilvl w:val="0"/>
          <w:numId w:val="1"/>
        </w:numPr>
        <w:spacing w:line="600" w:lineRule="exact"/>
        <w:ind w:firstLine="643" w:firstLineChars="200"/>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明确群众工作要求</w:t>
      </w:r>
    </w:p>
    <w:p>
      <w:pPr>
        <w:keepNext w:val="0"/>
        <w:keepLines w:val="0"/>
        <w:pageBreakBefore w:val="0"/>
        <w:widowControl/>
        <w:kinsoku/>
        <w:wordWrap/>
        <w:overflowPunct/>
        <w:topLinePunct w:val="0"/>
        <w:autoSpaceDE/>
        <w:autoSpaceDN/>
        <w:bidi w:val="0"/>
        <w:adjustRightInd w:val="0"/>
        <w:snapToGrid w:val="0"/>
        <w:spacing w:line="6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明确各区人民政府应建立旧住房更新群众工作专项机制，开展旧住房更新宣传解释、意愿征询、签约推进等工作，并落实经费保障。</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201060001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FF2134"/>
    <w:multiLevelType w:val="singleLevel"/>
    <w:tmpl w:val="CCFF2134"/>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94727"/>
    <w:rsid w:val="032B4646"/>
    <w:rsid w:val="17294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jc w:val="both"/>
    </w:pPr>
    <w:rPr>
      <w:rFonts w:ascii="Tahoma" w:hAnsi="Tahoma" w:eastAsia="微软雅黑" w:cs="Times New Roman"/>
      <w:sz w:val="2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BodyText1I2"/>
    <w:basedOn w:val="1"/>
    <w:qFormat/>
    <w:uiPriority w:val="0"/>
    <w:pPr>
      <w:spacing w:after="120"/>
      <w:ind w:left="420" w:leftChars="200" w:firstLine="420" w:firstLineChars="200"/>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2026-09-09T08:09:00Z</dcterms:created>
  <dc:creator>宁静致远i</dc:creator>
  <cp:lastModifiedBy>宁静致远i</cp:lastModifiedBy>
  <dcterms:modified xsi:type="dcterms:W3CDTF">2026-09-09T08:09:57Z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