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left"/>
        <w:rPr>
          <w:rFonts w:hint="eastAsia" w:eastAsia="仿宋_GB2312"/>
          <w:sz w:val="30"/>
          <w:lang w:eastAsia="zh-CN"/>
        </w:rPr>
      </w:pPr>
      <w:r>
        <w:rPr>
          <w:rFonts w:hint="eastAsia" w:eastAsia="仿宋_GB2312"/>
          <w:sz w:val="30"/>
        </w:rPr>
        <w:t>附件</w:t>
      </w:r>
      <w:r>
        <w:rPr>
          <w:rFonts w:hint="eastAsia" w:eastAsia="仿宋_GB2312"/>
          <w:sz w:val="30"/>
          <w:lang w:val="en-US" w:eastAsia="zh-CN"/>
        </w:rPr>
        <w:t>3</w:t>
      </w:r>
      <w:bookmarkStart w:id="2" w:name="_GoBack"/>
      <w:bookmarkEnd w:id="2"/>
    </w:p>
    <w:p>
      <w:pPr>
        <w:spacing w:after="0" w:line="600" w:lineRule="exact"/>
        <w:jc w:val="center"/>
        <w:rPr>
          <w:rFonts w:hint="eastAsia" w:ascii="方正小标宋简体" w:hAnsi="方正小标宋简体" w:eastAsia="方正小标宋简体" w:cs="方正小标宋简体"/>
          <w:b/>
          <w:spacing w:val="17"/>
          <w:sz w:val="40"/>
          <w:szCs w:val="40"/>
        </w:rPr>
      </w:pPr>
      <w:r>
        <w:rPr>
          <w:rFonts w:hint="eastAsia" w:ascii="方正小标宋简体" w:hAnsi="方正小标宋简体" w:eastAsia="方正小标宋简体" w:cs="方正小标宋简体"/>
          <w:b/>
          <w:spacing w:val="17"/>
          <w:sz w:val="40"/>
          <w:szCs w:val="40"/>
        </w:rPr>
        <w:t>上海市物业服务企业行业信用评价</w:t>
      </w:r>
    </w:p>
    <w:p>
      <w:pPr>
        <w:spacing w:after="0" w:line="600" w:lineRule="exact"/>
        <w:jc w:val="center"/>
        <w:rPr>
          <w:rFonts w:hint="eastAsia" w:ascii="方正小标宋简体" w:hAnsi="方正小标宋简体" w:eastAsia="方正小标宋简体" w:cs="方正小标宋简体"/>
          <w:b/>
          <w:spacing w:val="17"/>
          <w:sz w:val="40"/>
          <w:szCs w:val="40"/>
        </w:rPr>
      </w:pPr>
      <w:r>
        <w:rPr>
          <w:rFonts w:hint="eastAsia" w:ascii="方正小标宋简体" w:hAnsi="方正小标宋简体" w:eastAsia="方正小标宋简体" w:cs="方正小标宋简体"/>
          <w:b/>
          <w:spacing w:val="17"/>
          <w:sz w:val="40"/>
          <w:szCs w:val="40"/>
        </w:rPr>
        <w:t>记分规则</w:t>
      </w:r>
    </w:p>
    <w:p>
      <w:pPr>
        <w:spacing w:after="0" w:line="600" w:lineRule="exact"/>
        <w:jc w:val="center"/>
        <w:rPr>
          <w:rFonts w:ascii="仿宋_GB2312" w:eastAsia="仿宋_GB2312"/>
          <w:sz w:val="32"/>
          <w:szCs w:val="32"/>
        </w:rPr>
      </w:pPr>
    </w:p>
    <w:p>
      <w:pPr>
        <w:numPr>
          <w:ilvl w:val="0"/>
          <w:numId w:val="1"/>
        </w:num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（目的和依据）</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构建诚实守信、优胜劣汰的物业服务市场环境，规范物业服务企业守法履约行为，依据《物业管理条例》《上海市住宅物业管理规定》《上海市物业服务企业信用评价管理办法》等相关规定，结合本市实际，制定本规则。</w:t>
      </w:r>
    </w:p>
    <w:p>
      <w:pPr>
        <w:numPr>
          <w:ilvl w:val="0"/>
          <w:numId w:val="1"/>
        </w:num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（适用范围）</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本规则适用于本市房屋行政管理部门对物业服务企业在物业服务活动中产生的守信信息、失信信息，</w:t>
      </w:r>
      <w:r>
        <w:rPr>
          <w:rFonts w:hint="eastAsia" w:ascii="仿宋_GB2312" w:hAnsi="仿宋_GB2312" w:eastAsia="仿宋_GB2312" w:cs="仿宋_GB2312"/>
          <w:sz w:val="32"/>
          <w:szCs w:val="32"/>
        </w:rPr>
        <w:t>根据管理服务效果、违规行为严重程度等情形，对物业服务企业</w:t>
      </w:r>
      <w:r>
        <w:rPr>
          <w:rFonts w:hint="eastAsia" w:ascii="仿宋_GB2312" w:eastAsia="仿宋_GB2312"/>
          <w:sz w:val="32"/>
          <w:szCs w:val="32"/>
        </w:rPr>
        <w:t>实行的行业</w:t>
      </w:r>
      <w:r>
        <w:rPr>
          <w:rFonts w:hint="eastAsia" w:ascii="仿宋_GB2312" w:hAnsi="仿宋_GB2312" w:eastAsia="仿宋_GB2312" w:cs="仿宋_GB2312"/>
          <w:sz w:val="32"/>
          <w:szCs w:val="32"/>
        </w:rPr>
        <w:t>信用评价</w:t>
      </w:r>
      <w:r>
        <w:rPr>
          <w:rFonts w:hint="eastAsia" w:ascii="仿宋_GB2312" w:eastAsia="仿宋_GB2312"/>
          <w:sz w:val="32"/>
          <w:szCs w:val="32"/>
        </w:rPr>
        <w:t>。</w:t>
      </w:r>
    </w:p>
    <w:p>
      <w:pPr>
        <w:numPr>
          <w:ilvl w:val="0"/>
          <w:numId w:val="1"/>
        </w:num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（定义）</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行业信用评价记分，是指对</w:t>
      </w:r>
      <w:r>
        <w:rPr>
          <w:rFonts w:hint="eastAsia" w:ascii="仿宋_GB2312" w:eastAsia="仿宋_GB2312"/>
          <w:sz w:val="32"/>
          <w:szCs w:val="32"/>
        </w:rPr>
        <w:t>守信信息和失信信息</w:t>
      </w:r>
      <w:r>
        <w:rPr>
          <w:rFonts w:hint="eastAsia" w:ascii="仿宋_GB2312" w:hAnsi="仿宋_GB2312" w:eastAsia="仿宋_GB2312" w:cs="仿宋_GB2312"/>
          <w:sz w:val="32"/>
          <w:szCs w:val="32"/>
        </w:rPr>
        <w:t>采取量化评分制，由正向指标的加分项、负向指标的减分项组成。正向指标为守信价值指标，即</w:t>
      </w:r>
      <w:r>
        <w:rPr>
          <w:rFonts w:hint="eastAsia" w:ascii="仿宋_GB2312" w:eastAsia="仿宋_GB2312"/>
          <w:sz w:val="32"/>
          <w:szCs w:val="32"/>
        </w:rPr>
        <w:t>守信</w:t>
      </w:r>
      <w:r>
        <w:rPr>
          <w:rFonts w:hint="eastAsia" w:ascii="仿宋_GB2312" w:hAnsi="仿宋_GB2312" w:eastAsia="仿宋_GB2312" w:cs="仿宋_GB2312"/>
          <w:sz w:val="32"/>
          <w:szCs w:val="32"/>
        </w:rPr>
        <w:t>信息；负向指标为履约践诺指标、部分运营合规指标和风险关联指标，即失信信息。</w:t>
      </w:r>
    </w:p>
    <w:p>
      <w:pPr>
        <w:numPr>
          <w:ilvl w:val="0"/>
          <w:numId w:val="1"/>
        </w:num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（守信信息）</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有下列守信价值情形之一的，对物业服务企业予以加分：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（一）智慧物业建设</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1、建立自有物业服务管理信息系统，并与上海市物业管理监管和服务信息平台（以下简称市物业监管平台）对接，定期上报物业服务履约情况等服务公示事项</w:t>
      </w:r>
      <w:r>
        <w:rPr>
          <w:rFonts w:hint="eastAsia" w:ascii="仿宋_GB2312" w:eastAsia="仿宋_GB2312"/>
          <w:sz w:val="32"/>
          <w:szCs w:val="32"/>
          <w:lang w:eastAsia="zh-CN"/>
        </w:rPr>
        <w:t>、</w:t>
      </w:r>
      <w:r>
        <w:rPr>
          <w:rFonts w:hint="eastAsia" w:ascii="仿宋_GB2312" w:eastAsia="仿宋_GB2312"/>
          <w:sz w:val="32"/>
          <w:szCs w:val="32"/>
          <w:lang w:val="en-US" w:eastAsia="zh-CN"/>
        </w:rPr>
        <w:t>物业服务日常巡查和热线工单处置等信息，</w:t>
      </w:r>
      <w:r>
        <w:rPr>
          <w:rFonts w:hint="eastAsia" w:ascii="仿宋_GB2312" w:eastAsia="仿宋_GB2312"/>
          <w:sz w:val="32"/>
          <w:szCs w:val="32"/>
        </w:rPr>
        <w:t>按实施项目数/网签物业服务合同备案项目总数折算</w:t>
      </w:r>
      <w:r>
        <w:rPr>
          <w:rFonts w:hint="eastAsia" w:ascii="仿宋_GB2312" w:eastAsia="仿宋_GB2312"/>
          <w:sz w:val="32"/>
          <w:szCs w:val="32"/>
          <w:lang w:eastAsia="zh-CN"/>
        </w:rPr>
        <w:t>系数</w:t>
      </w:r>
      <w:r>
        <w:rPr>
          <w:rFonts w:hint="eastAsia" w:ascii="仿宋_GB2312" w:eastAsia="仿宋_GB2312"/>
          <w:sz w:val="32"/>
          <w:szCs w:val="32"/>
        </w:rPr>
        <w:t>，最高得</w:t>
      </w:r>
      <w:r>
        <w:rPr>
          <w:rFonts w:hint="eastAsia" w:ascii="仿宋_GB2312" w:eastAsia="仿宋_GB2312"/>
          <w:sz w:val="32"/>
          <w:szCs w:val="32"/>
          <w:lang w:val="en-US" w:eastAsia="zh-CN"/>
        </w:rPr>
        <w:t>2</w:t>
      </w:r>
      <w:r>
        <w:rPr>
          <w:rFonts w:hint="eastAsia" w:ascii="仿宋_GB2312" w:eastAsia="仿宋_GB2312"/>
          <w:sz w:val="32"/>
          <w:szCs w:val="32"/>
        </w:rPr>
        <w:t>分；</w:t>
      </w:r>
    </w:p>
    <w:p>
      <w:pPr>
        <w:numPr>
          <w:ilvl w:val="0"/>
          <w:numId w:val="2"/>
        </w:numPr>
        <w:spacing w:after="0" w:line="600" w:lineRule="exact"/>
        <w:ind w:firstLine="640" w:firstLineChars="200"/>
        <w:rPr>
          <w:rFonts w:ascii="仿宋_GB2312" w:eastAsia="仿宋_GB2312"/>
          <w:sz w:val="32"/>
          <w:szCs w:val="32"/>
        </w:rPr>
      </w:pPr>
      <w:r>
        <w:rPr>
          <w:rFonts w:hint="eastAsia" w:ascii="仿宋_GB2312" w:eastAsia="仿宋_GB2312"/>
          <w:sz w:val="32"/>
          <w:szCs w:val="32"/>
        </w:rPr>
        <w:t>通过市物业监管平台建立完整的共用设施设备数字台账，上传包括但不限于竣工验收资料、设施设备养护技术资料、物业质量保修文件、物业使用说明等物业管理必需材料的，按实施项目数/网签物业服务合同备案项目总数折算，最高得</w:t>
      </w:r>
      <w:r>
        <w:rPr>
          <w:rFonts w:hint="eastAsia" w:ascii="仿宋_GB2312" w:eastAsia="仿宋_GB2312"/>
          <w:sz w:val="32"/>
          <w:szCs w:val="32"/>
          <w:lang w:val="en-US" w:eastAsia="zh-CN"/>
        </w:rPr>
        <w:t>1</w:t>
      </w:r>
      <w:r>
        <w:rPr>
          <w:rFonts w:hint="eastAsia" w:ascii="仿宋_GB2312" w:eastAsia="仿宋_GB2312"/>
          <w:sz w:val="32"/>
          <w:szCs w:val="32"/>
        </w:rPr>
        <w:t>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（二）守信激励对象</w:t>
      </w:r>
    </w:p>
    <w:p>
      <w:pPr>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t>3、区域化规模服务。在</w:t>
      </w:r>
      <w:r>
        <w:rPr>
          <w:rFonts w:hint="eastAsia" w:ascii="仿宋_GB2312" w:hAnsi="仿宋_GB2312" w:eastAsia="仿宋_GB2312" w:cs="仿宋_GB2312"/>
          <w:sz w:val="32"/>
          <w:szCs w:val="32"/>
        </w:rPr>
        <w:t>乡、镇人民政府和街道办事处（以下简称街镇）</w:t>
      </w:r>
      <w:r>
        <w:rPr>
          <w:rFonts w:hint="eastAsia" w:ascii="仿宋_GB2312" w:eastAsia="仿宋_GB2312"/>
          <w:sz w:val="32"/>
          <w:szCs w:val="32"/>
        </w:rPr>
        <w:t>指导下将多个物业管理区域实现区域化统一物业服务的，每涉及一个物业管理区域得0.1分,累计不超过5分；</w:t>
      </w:r>
    </w:p>
    <w:p>
      <w:pPr>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4、增值延伸服务。在物业管理区域内提供养老等延伸服务的，按实施项目数/网签物业服务合同备案项目总数折算，最高得1分； </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5、业主满意支持度。在管项目年度物业费的收缴率达到90%以上或85%以上（总建筑面积</w:t>
      </w:r>
      <w:r>
        <w:rPr>
          <w:rFonts w:hint="eastAsia" w:ascii="仿宋_GB2312" w:eastAsia="仿宋_GB2312"/>
          <w:sz w:val="32"/>
          <w:szCs w:val="32"/>
          <w:lang w:val="en-US" w:eastAsia="zh-CN"/>
        </w:rPr>
        <w:t>3</w:t>
      </w:r>
      <w:r>
        <w:rPr>
          <w:rFonts w:hint="eastAsia" w:ascii="仿宋_GB2312" w:eastAsia="仿宋_GB2312"/>
          <w:sz w:val="32"/>
          <w:szCs w:val="32"/>
        </w:rPr>
        <w:t>0万平方米以上）且保存</w:t>
      </w:r>
      <w:r>
        <w:rPr>
          <w:rFonts w:ascii="仿宋_GB2312" w:eastAsia="仿宋_GB2312"/>
          <w:sz w:val="32"/>
          <w:szCs w:val="32"/>
        </w:rPr>
        <w:t>有效</w:t>
      </w:r>
      <w:r>
        <w:rPr>
          <w:rFonts w:hint="eastAsia" w:ascii="仿宋_GB2312" w:eastAsia="仿宋_GB2312"/>
          <w:sz w:val="32"/>
          <w:szCs w:val="32"/>
        </w:rPr>
        <w:t>的欠交物业费</w:t>
      </w:r>
      <w:r>
        <w:rPr>
          <w:rFonts w:ascii="仿宋_GB2312" w:eastAsia="仿宋_GB2312"/>
          <w:sz w:val="32"/>
          <w:szCs w:val="32"/>
        </w:rPr>
        <w:t>催缴记录</w:t>
      </w:r>
      <w:r>
        <w:rPr>
          <w:rFonts w:hint="eastAsia" w:ascii="仿宋_GB2312" w:eastAsia="仿宋_GB2312"/>
          <w:sz w:val="32"/>
          <w:szCs w:val="32"/>
        </w:rPr>
        <w:t>，按满意项目数/网签物业服务合同备案项目总数折算</w:t>
      </w:r>
      <w:r>
        <w:rPr>
          <w:rFonts w:hint="eastAsia" w:ascii="仿宋_GB2312" w:eastAsia="仿宋_GB2312"/>
          <w:sz w:val="32"/>
          <w:szCs w:val="32"/>
          <w:lang w:eastAsia="zh-CN"/>
        </w:rPr>
        <w:t>系数</w:t>
      </w:r>
      <w:r>
        <w:rPr>
          <w:rFonts w:hint="eastAsia" w:ascii="仿宋_GB2312" w:eastAsia="仿宋_GB2312"/>
          <w:sz w:val="32"/>
          <w:szCs w:val="32"/>
        </w:rPr>
        <w:t>，最高得3分；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6、临时托底保障。被区、街镇纳入临时托底物业服务企业预选库，被街镇选定每承担一个物业服务应急托底保障项目得0.1分，累计不超过5分。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（三）奖励认证</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7、获得国家级物业服务相关奖项，有效期内每项得1分；获得本市市级物业服务相关奖项，有效期内每项得0.5分；其中物业服务团队、在管项目获得上述业绩信息的，计入所在的物业服务企业分值；在职从业人员获得上述业绩信息的，计入所任职的物业服务企业分值，每项得0.1分；国家级、市级物业服务相关奖项无有效期的，按3年计；最高得1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8、管业规模。网签物业服务合同备案的在管项目总建筑面积200万平方米以上或在管项目数量达25个以上，得0.5分；400万平方米以上或50个以上，得0.8分；800万平方米以上或75个以上，得1分；最高得1分；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9、建立规范服务标准。通过ISO9001、ISO14001和ISO45001等三个及以上国际质量管理体系认证的，最高得1分；</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第五条 （失信信息）</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失信行为按照严重失信行为、一般失信行为、轻微失信行为分别予以减9分、6分、3分。其中，严重失信行为和一般失信行为直接对物业服务企业予以减分、轻微失信行为按网签物业服务合同备案项目总数占比折算对物业服务企业予以减分。</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失信行为自发生之日起超过1年且已不再存续的，不予记分。</w:t>
      </w:r>
    </w:p>
    <w:p>
      <w:pPr>
        <w:numPr>
          <w:ilvl w:val="0"/>
          <w:numId w:val="3"/>
        </w:num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（严重失信行为）</w:t>
      </w:r>
    </w:p>
    <w:p>
      <w:pPr>
        <w:numPr>
          <w:ilvl w:val="0"/>
          <w:numId w:val="4"/>
        </w:numPr>
        <w:spacing w:after="0" w:line="600" w:lineRule="exact"/>
        <w:ind w:firstLine="640" w:firstLineChars="200"/>
        <w:rPr>
          <w:rFonts w:ascii="仿宋_GB2312" w:eastAsia="仿宋_GB2312"/>
          <w:sz w:val="32"/>
          <w:szCs w:val="32"/>
        </w:rPr>
      </w:pPr>
      <w:r>
        <w:rPr>
          <w:rFonts w:hint="eastAsia" w:ascii="仿宋_GB2312" w:eastAsia="仿宋_GB2312"/>
          <w:sz w:val="32"/>
          <w:szCs w:val="32"/>
        </w:rPr>
        <w:t>在管物业项目发生一般及以上安全生产责任事故，事故调查报告认定</w:t>
      </w:r>
      <w:bookmarkStart w:id="0" w:name="OLE_LINK2"/>
      <w:bookmarkStart w:id="1" w:name="OLE_LINK1"/>
      <w:r>
        <w:rPr>
          <w:rFonts w:hint="eastAsia" w:ascii="仿宋_GB2312" w:eastAsia="仿宋_GB2312"/>
          <w:sz w:val="32"/>
          <w:szCs w:val="32"/>
        </w:rPr>
        <w:t>应承担主要或全部责任的</w:t>
      </w:r>
      <w:bookmarkEnd w:id="0"/>
      <w:bookmarkEnd w:id="1"/>
      <w:r>
        <w:rPr>
          <w:rFonts w:hint="eastAsia" w:ascii="仿宋_GB2312" w:eastAsia="仿宋_GB2312"/>
          <w:sz w:val="32"/>
          <w:szCs w:val="32"/>
        </w:rPr>
        <w:t>；</w:t>
      </w:r>
    </w:p>
    <w:p>
      <w:pPr>
        <w:spacing w:after="0" w:line="600" w:lineRule="exact"/>
        <w:ind w:firstLine="640" w:firstLineChars="200"/>
        <w:rPr>
          <w:rFonts w:eastAsia="仿宋_GB2312"/>
        </w:rPr>
      </w:pPr>
      <w:r>
        <w:rPr>
          <w:rFonts w:hint="eastAsia" w:ascii="仿宋_GB2312" w:eastAsia="仿宋_GB2312"/>
          <w:sz w:val="32"/>
          <w:szCs w:val="32"/>
        </w:rPr>
        <w:t>（二）在管物业项目存在重大安全隐患，因物业服务企业未履行法定义务被消防、应急等相关行政管理部门开具重大安全隐患整改单的；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（三）物业项目交接时，在约定期限内拒不撤出物业管理区域的；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（四）招投标活动中，未中标但违规进驻招标项目提供物业服务。</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w:t>
      </w:r>
      <w:r>
        <w:rPr>
          <w:rFonts w:hint="eastAsia" w:ascii="黑体" w:hAnsi="黑体" w:eastAsia="黑体" w:cs="黑体"/>
          <w:sz w:val="32"/>
          <w:szCs w:val="32"/>
        </w:rPr>
        <w:t>（一般失信行为）</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（一）安全运行方面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1、在管物业项目发生一般及以上安全生产责任事故，事故调查报告认定应承担次要责任；</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（二）应急预案的安全风险方面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2、未按规定建立企业和在管物业项目的灾害性天气、设施设备故障、突发事件等各类物业服务应急预案；未定期组织应急演练的；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3、未按规定对高空坠物、火灾等突发事件采取应急措施，并报告相关行政管理部门的；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（三）资金管理方面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4、未建立公共收入监管账户；未按规定每半年将公共收益从公共收入监管账户划转至区房屋行政管理部门的公共收益子账户或者业主大会公共收益子账户的；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5、违规将不应在专项维修资金或公共收益中分摊的项目进行分摊的；违规人为拆分维修工程，规避工程审价和使用程序审核的；专项维修资金或公共收益使用时分摊范围有误的；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6、拒绝或无故拖延提供相关账目资料，影响前期物业管理期间公共收益代理记账；或影响业主大会账户财务审计的；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（四）市场秩序方面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7、招投标活动中，以他人名义投标、伪造、变造资格或其他许可证、或者以其他方式弄虚作假，骗取中标的；作为中标候选人非因不可抗力放弃中标的；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8、单方决定不再为物业项目提供物业服务的，未按规定在物业服务期限届满前提前九十日或未在物业服务期限届满后提前六十日，书面告知全体业主或业主委员会的；或在约定期限或者合理期限之前退出物业服务区域的。</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第八条（轻微失信行为）</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（一）安全运行方面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1、未全年每日24小时受理居民报修的；险、漏、水、堵、电等急修项目未2小时内到现场，其中设置管理处的未30分钟内到物业项目现场的；一般修理项目未3个工作日内修复的，但居民预约或雨天筑漏不受此限；</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2、未按规定履行装修前事项告知、登记办理、签订装饰装修管理协议、日常巡查等装修管理工作职责的；</w:t>
      </w:r>
    </w:p>
    <w:p>
      <w:pPr>
        <w:spacing w:after="0" w:line="600" w:lineRule="exact"/>
        <w:ind w:firstLine="640" w:firstLineChars="200"/>
      </w:pPr>
      <w:r>
        <w:rPr>
          <w:rFonts w:hint="eastAsia" w:ascii="仿宋_GB2312" w:eastAsia="仿宋_GB2312"/>
          <w:sz w:val="32"/>
          <w:szCs w:val="32"/>
        </w:rPr>
        <w:t>3、未按规定通过“上海智慧物业”APP报告违法搭建、破坏承重墙、电动自行车违规停放充电、占绿毁绿、群租等违法违规行为的；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（二）履约践诺方面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5、原物业服务企业在项目移交过程中，</w:t>
      </w:r>
      <w:r>
        <w:rPr>
          <w:rFonts w:hint="eastAsia" w:ascii="仿宋_GB2312" w:hAnsi="仿宋_GB2312" w:eastAsia="仿宋_GB2312" w:cs="仿宋_GB2312"/>
          <w:sz w:val="32"/>
          <w:szCs w:val="32"/>
        </w:rPr>
        <w:t>损毁、隐匿有关资料或者财物的；</w:t>
      </w:r>
      <w:r>
        <w:rPr>
          <w:rFonts w:hint="eastAsia" w:ascii="仿宋_GB2312" w:eastAsia="仿宋_GB2312"/>
          <w:sz w:val="32"/>
          <w:szCs w:val="32"/>
        </w:rPr>
        <w:t>新物业服务企业承接物业时，未按规定对移交的房屋及配套设施设备和相关场地进行检查验收；或未对相关资料进行核对接收的；或未按规定查验共用消防设施的完好状况，做好查验、交接记录，并告知全体业主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6、实施酬金制物业计费方式的，未按规定移交物业服务资金结余以及用物业服务资金购置的财物的；未按规定公布物业服务资金收支情况或物业服务资金决算情况的；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（三）信息公示与数据维护方面</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7、市物业监管平台的基础信息日常维护中，存在虚报、瞒报、拒报相关信息或提供伪造资料的；基础信息日常维护不及时的;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8、未按规定在市物业监管平台网签合同备案的；或未在签订物业服务合同之日起三十日内报街镇备案的；或未在物业服务合同生效之日起三日内办理信息核实手续；</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9、未按照前期物业服务合同或物业服务合同或临时物业服务协议（以下简称物业服务合同）约定或其他经公示的收费项目和标准收费的；或收费项目和收费标准未公示的；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10、未按规定定期公示共有部分经营管理档案、监控系统、电梯、水泵、电子防盗门、消防等共用设施设备档案及其运行、维修、养护、检测记录，及其他与业主利益相关的档案和资料的；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11、未按规定在物业项目规定位置每</w:t>
      </w:r>
      <w:r>
        <w:rPr>
          <w:rFonts w:hint="eastAsia" w:ascii="仿宋_GB2312" w:eastAsia="仿宋_GB2312"/>
          <w:sz w:val="32"/>
          <w:szCs w:val="32"/>
          <w:lang w:eastAsia="zh-CN"/>
        </w:rPr>
        <w:t>半</w:t>
      </w:r>
      <w:r>
        <w:rPr>
          <w:rFonts w:hint="eastAsia" w:ascii="仿宋_GB2312" w:eastAsia="仿宋_GB2312"/>
          <w:sz w:val="32"/>
          <w:szCs w:val="32"/>
        </w:rPr>
        <w:t>年公布专项维修资金收支情况的、或每半年公布公共收入明细及公共收益收支情况的；</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（三）其他</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12、未按相关政策规定履行相关职责，经本市房屋行政管理部门、街镇责令限期整改，逾期仍未改正的。</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w:t>
      </w:r>
      <w:r>
        <w:rPr>
          <w:rFonts w:hint="eastAsia" w:ascii="黑体" w:hAnsi="黑体" w:eastAsia="黑体" w:cs="黑体"/>
          <w:sz w:val="32"/>
          <w:szCs w:val="32"/>
        </w:rPr>
        <w:t>（其他）</w:t>
      </w:r>
    </w:p>
    <w:p>
      <w:pPr>
        <w:spacing w:after="0" w:line="600" w:lineRule="exact"/>
        <w:ind w:firstLine="640" w:firstLineChars="200"/>
      </w:pPr>
      <w:r>
        <w:rPr>
          <w:rFonts w:hint="eastAsia" w:ascii="仿宋_GB2312" w:eastAsia="仿宋_GB2312"/>
          <w:sz w:val="32"/>
          <w:szCs w:val="32"/>
        </w:rPr>
        <w:t>本规则自2026年6月1日起施行，有效期至2031年5月31日。原《关于印发&lt;上海市物业服务企业和项目经理失信行为记分规则&gt;的通知》（沪房规范〔2023〕3号）同时废止。</w:t>
      </w:r>
    </w:p>
    <w:sectPr>
      <w:footerReference r:id="rId5" w:type="default"/>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8</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D38C4"/>
    <w:multiLevelType w:val="singleLevel"/>
    <w:tmpl w:val="EFFD38C4"/>
    <w:lvl w:ilvl="0" w:tentative="0">
      <w:start w:val="1"/>
      <w:numFmt w:val="chineseCounting"/>
      <w:suff w:val="nothing"/>
      <w:lvlText w:val="（%1）"/>
      <w:lvlJc w:val="left"/>
      <w:rPr>
        <w:rFonts w:hint="eastAsia"/>
      </w:rPr>
    </w:lvl>
  </w:abstractNum>
  <w:abstractNum w:abstractNumId="1">
    <w:nsid w:val="EFFF10E4"/>
    <w:multiLevelType w:val="singleLevel"/>
    <w:tmpl w:val="EFFF10E4"/>
    <w:lvl w:ilvl="0" w:tentative="0">
      <w:start w:val="1"/>
      <w:numFmt w:val="chineseCounting"/>
      <w:suff w:val="space"/>
      <w:lvlText w:val="第%1条"/>
      <w:lvlJc w:val="left"/>
      <w:rPr>
        <w:rFonts w:hint="eastAsia"/>
      </w:rPr>
    </w:lvl>
  </w:abstractNum>
  <w:abstractNum w:abstractNumId="2">
    <w:nsid w:val="0B9D9FB4"/>
    <w:multiLevelType w:val="singleLevel"/>
    <w:tmpl w:val="0B9D9FB4"/>
    <w:lvl w:ilvl="0" w:tentative="0">
      <w:start w:val="2"/>
      <w:numFmt w:val="decimal"/>
      <w:suff w:val="nothing"/>
      <w:lvlText w:val="%1、"/>
      <w:lvlJc w:val="left"/>
    </w:lvl>
  </w:abstractNum>
  <w:abstractNum w:abstractNumId="3">
    <w:nsid w:val="763C6C01"/>
    <w:multiLevelType w:val="singleLevel"/>
    <w:tmpl w:val="763C6C01"/>
    <w:lvl w:ilvl="0" w:tentative="0">
      <w:start w:val="6"/>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893A4F"/>
    <w:rsid w:val="0009593C"/>
    <w:rsid w:val="000D2BF3"/>
    <w:rsid w:val="002050A8"/>
    <w:rsid w:val="00250911"/>
    <w:rsid w:val="002665B8"/>
    <w:rsid w:val="004B70C6"/>
    <w:rsid w:val="006525F1"/>
    <w:rsid w:val="008B7532"/>
    <w:rsid w:val="00A565B4"/>
    <w:rsid w:val="00A8604F"/>
    <w:rsid w:val="00C65EA5"/>
    <w:rsid w:val="00CC36B6"/>
    <w:rsid w:val="00E57692"/>
    <w:rsid w:val="00F63D62"/>
    <w:rsid w:val="00F72E92"/>
    <w:rsid w:val="00F73105"/>
    <w:rsid w:val="00F9186B"/>
    <w:rsid w:val="00FF3729"/>
    <w:rsid w:val="0FFD0985"/>
    <w:rsid w:val="27E2757A"/>
    <w:rsid w:val="2E5F846C"/>
    <w:rsid w:val="31F7D8E3"/>
    <w:rsid w:val="3648116C"/>
    <w:rsid w:val="3C1E726F"/>
    <w:rsid w:val="3FBFDED5"/>
    <w:rsid w:val="47555600"/>
    <w:rsid w:val="4F5E6542"/>
    <w:rsid w:val="527F32FE"/>
    <w:rsid w:val="5F6A7CF8"/>
    <w:rsid w:val="66CF605C"/>
    <w:rsid w:val="6BBE9B48"/>
    <w:rsid w:val="70893A4F"/>
    <w:rsid w:val="76FF6DAF"/>
    <w:rsid w:val="7AEC944A"/>
    <w:rsid w:val="7D7D3417"/>
    <w:rsid w:val="7F7F7C94"/>
    <w:rsid w:val="7FDE9073"/>
    <w:rsid w:val="BCFF37D7"/>
    <w:rsid w:val="BDCF4199"/>
    <w:rsid w:val="BF224945"/>
    <w:rsid w:val="BFDFE4B6"/>
    <w:rsid w:val="CDD4FE49"/>
    <w:rsid w:val="DF6D378D"/>
    <w:rsid w:val="EC2A478D"/>
    <w:rsid w:val="F76F46E2"/>
    <w:rsid w:val="FE75BCC9"/>
    <w:rsid w:val="FFFF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textAlignment w:val="baseline"/>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spacing w:line="240" w:lineRule="auto"/>
      <w:jc w:val="center"/>
    </w:pPr>
    <w:rPr>
      <w:sz w:val="18"/>
      <w:szCs w:val="18"/>
    </w:rPr>
  </w:style>
  <w:style w:type="paragraph" w:styleId="5">
    <w:name w:val="toc 2"/>
    <w:basedOn w:val="1"/>
    <w:next w:val="1"/>
    <w:unhideWhenUsed/>
    <w:qFormat/>
    <w:uiPriority w:val="39"/>
    <w:pPr>
      <w:jc w:val="center"/>
    </w:pPr>
    <w:rPr>
      <w:rFonts w:ascii="楷体" w:hAnsi="楷体" w:eastAsia="楷体"/>
      <w:sz w:val="32"/>
      <w:szCs w:val="32"/>
    </w:rPr>
  </w:style>
  <w:style w:type="character" w:customStyle="1" w:styleId="8">
    <w:name w:val="页眉 字符"/>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1530</Words>
  <Characters>1561</Characters>
  <Lines>82</Lines>
  <Paragraphs>61</Paragraphs>
  <TotalTime>13</TotalTime>
  <ScaleCrop>false</ScaleCrop>
  <LinksUpToDate>false</LinksUpToDate>
  <CharactersWithSpaces>3030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2026-03-12T13:13:00Z</dcterms:created>
  <dc:creator>今天开始请叫我“宝贝”的宝</dc:creator>
  <cp:lastModifiedBy>宁静致远i</cp:lastModifiedBy>
  <cp:lastPrinted>2026-03-13T07:26:00Z</cp:lastPrinted>
  <dcterms:modified xsi:type="dcterms:W3CDTF">2026-03-30T06:09:47Z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7736699D0576405CAD77A11E2288AD8C_11</vt:lpwstr>
  </property>
  <property fmtid="{D5CDD505-2E9C-101B-9397-08002B2CF9AE}" pid="4" name="KSOTemplateDocerSaveRecord">
    <vt:lpwstr>eyJoZGlkIjoiZjVhNGJiMWVmZTg4ZjFhYWZhYWFiMzBkODkwYWRkZmUiLCJ1c2VySWQiOiIzODk3NzYzMjIifQ==</vt:lpwstr>
  </property>
</Properties>
</file>