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华文中宋" w:hAnsi="华文中宋" w:eastAsia="华文中宋" w:cs="仿宋_GB2312"/>
          <w:b/>
          <w:bCs w:val="0"/>
          <w:spacing w:val="6"/>
          <w:sz w:val="40"/>
          <w:szCs w:val="40"/>
        </w:rPr>
        <w:t>住宅小区物业服务需求清单（试行）</w:t>
      </w:r>
    </w:p>
    <w:p>
      <w:pPr>
        <w:spacing w:before="0" w:after="0" w:line="600" w:lineRule="exact"/>
        <w:ind w:firstLine="3200"/>
        <w:rPr>
          <w:rFonts w:ascii="仿宋_GB2312;微软雅黑" w:hAnsi="仿宋_GB2312;微软雅黑" w:eastAsia="仿宋_GB2312;微软雅黑" w:cs="仿宋_GB2312;微软雅黑"/>
          <w:b/>
          <w:bCs/>
          <w:sz w:val="32"/>
          <w:szCs w:val="32"/>
        </w:rPr>
      </w:pPr>
    </w:p>
    <w:p>
      <w:pPr>
        <w:spacing w:before="0" w:after="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明</w:t>
      </w:r>
    </w:p>
    <w:p>
      <w:pPr>
        <w:spacing w:before="0" w:after="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一、本市倡导物业服务需求清单化管理，清单分为必选事项和可选事项两大类。必选事项包括国家及本市有关法律法规规定及规范性文件明确、保障小区正常运行和安全管理的必要服务事项，按照“基础、常规、提升”设置三个层级，涵盖综合管理、秩序维护、环境卫生、绿化管理、共用设施设备日常管理等五个常规服务模块。可选事项包括个性化延伸服务事项、标注“*”的服务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二、建设单位、业主大会可结合小区设施设备配置实际情况、业主服务需求，在开展选聘续聘物业等活动时，采取增减事项、跨层级选择、模块化组合的灵活方式，将需求清单作为招标依据、物业服务合同约定内容，实现物业服务精准供给、按需适配，推动物业服务质价匹配、合规履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三、各区房管部门要强化统筹指导，切实落实属地管理责任，常态化推进物业服务质价相符，促进物业服务水平持续提升。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四、上海市物业管理行业协会要充分发挥行业服务和自律管理作用，组织开展相关业务培训，指导物业服务企业熟练掌握、规范使用事项清单，助推物业行业规范化、标准化发展。</w:t>
      </w:r>
    </w:p>
    <w:p>
      <w:pPr>
        <w:spacing w:before="0" w:after="0" w:line="600" w:lineRule="exact"/>
        <w:ind w:firstLine="3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</w:p>
    <w:p>
      <w:pPr>
        <w:spacing w:before="0" w:after="0" w:line="600" w:lineRule="exact"/>
        <w:ind w:left="0" w:leftChars="0" w:firstLine="0" w:firstLineChars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br w:type="page"/>
      </w:r>
      <w:r>
        <w:rPr>
          <w:rFonts w:hint="eastAsia" w:ascii="华文中宋" w:hAnsi="华文中宋" w:eastAsia="华文中宋" w:cs="仿宋_GB2312"/>
          <w:b/>
          <w:bCs w:val="0"/>
          <w:spacing w:val="6"/>
          <w:sz w:val="40"/>
          <w:szCs w:val="40"/>
          <w:lang w:val="en-US"/>
        </w:rPr>
        <w:t>住宅小区物业服务需求清单</w:t>
      </w:r>
    </w:p>
    <w:p>
      <w:pPr>
        <w:pStyle w:val="4"/>
        <w:spacing w:line="360" w:lineRule="auto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/>
        </w:rPr>
      </w:pPr>
    </w:p>
    <w:p>
      <w:pPr>
        <w:pStyle w:val="4"/>
        <w:spacing w:line="360" w:lineRule="auto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/>
        </w:rPr>
        <w:t>一、综合管理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40"/>
        <w:gridCol w:w="2715"/>
        <w:gridCol w:w="2655"/>
        <w:gridCol w:w="2683"/>
        <w:gridCol w:w="8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项目负责人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任职要求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1）持有物业管理师（四级及以上）及相应的物业经理（初级及以上）职业水平评价证书，或具备项目经理岗位经历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1）持有物业管理师（四级及以上）及相应的物业经理（初级及以上）职业水平评价证书，或具备项目经理岗位经历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1）持有物业管理师（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三级及以上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）及相应的物业经理（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中级及以上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）职业水平评价证书，或具备项目经理岗位经历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从业人员管理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1）统一着装、佩戴工牌、仪容整洁、举止文明、礼貌用语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2）从业人员持证上岗、证书有效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1）统一着装、佩戴工牌、仪容整洁、举止文明、礼貌用语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2）从业人员持证上岗、证书有效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1）统一着装、佩戴工牌、仪容整洁、举止文明、礼貌用语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2）从业人员持证上岗、证书有效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业主接待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1）设固定接待点，每日提供8小时接待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2）24小时接听报修、咨询、投诉等服务电话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1）设固定接待点，每日提供8小时接待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2）24小时接听报修、咨询、投诉等服务电话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1）设服务前台，每日提供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12小时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现场接待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2）24小时接听报修、咨询、投诉等服务电话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投诉处理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1）24小时内响应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个工作日内完成物业服务事项处理，或反馈阶段性处理意见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3）建立投诉时间、投诉事项、反馈时间、处理结果、回访情况的记录台账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1）24小时内响应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个工作日内完成物业服务事项处理，或反馈阶段性处理意见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3）建立投诉时间、投诉事项、反馈时间、处理结果、回访情况的记录台账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12小时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内响应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2）3个工作日内完成物业服务事项处理，或反馈阶段性处理意见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3）建立投诉时间、投诉事项、反馈时间、处理结果、回访情况的记录台账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业主满意度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1）定期沟通回访，每年沟通覆盖比例50%以上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1）定期沟通回访，每年沟通覆盖比例65%以上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1）定期沟通回访，每年沟通覆盖比例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75%以上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）每年1次满意度评测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装修管理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1）办理装修登记等手续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2）装修期间每日巡视1次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3）发现违规装修的，按规定劝阻、制止、报告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4）建立装修管理档案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1）办理装修登记等手续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2）装修期间每日巡视1次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3）发现违规装修的，按规定劝阻、制止、报告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4）建立装修管理档案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1）办理装修登记等手续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2）装修期间每日巡视1次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3）发现违规装修的，按规定劝阻、制止、报告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4）建立装修管理档案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提示类标识管理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按服务信息类、安全警示类、设备设施类、导向指引类、环境管理类设置标识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设施设备房的管理制度、责任人及联系电话上墙公示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按服务信息类、安全警示类、设备设施类、导向指引类、环境管理类设置标识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设施设备房的管理制度、责任人及联系电话上墙公示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按服务信息类、安全警示类、设备设施类、导向指引类、环境管理类设置标识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设施设备房的管理制度、责任人及联系电话上墙公示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3）建立标识管理台账，每半年至少巡视1次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信息公示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1）公开服务合同、收费标准、办事制度、联系方式、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24小时报修电话、项目负责人等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2）按规定公示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年度服务计划与季度履职报告、维修资金账目与公共收益收支公示表等；酬金制项目公布收支预算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等相关信息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1）公开服务合同、收费标准、办事制度、联系方式、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24小时报修电话、项目负责人等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2）按规定公示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年度服务计划与季度履职报告、维修资金账目与公共收益收支公示表等；酬金制项目公布收支预算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等相关信息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1）公开服务合同、收费标准、办事制度、联系方式、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24小时报修电话、项目负责人等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2）按规定公示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年度服务计划与季度履职报告、维修资金账目与公共收益收支公示表等；酬金制项目公布收支预算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等相关信息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应急管理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）编制火灾、停电、停水、防汛等专项应急预案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2）组织应急演练或培训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每年组织消防应急演练不少于1次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3）建立应急物资储备管理、信息上报机制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）编制火灾、停电、停水、防汛等专项应急预案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2）组织应急演练或培训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每年组织消防应急演练不少于1次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3）建立应急物资储备管理、信息上报机制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应急物资分类存放、台账管理、定期核查有效期并补充更新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）编制火灾、停电、停水、防汛等专项应急预案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2）组织应急演练或培训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每年组织消防应急演练不少于1次；电梯困人、防汛等专项演练每年各不少于1次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3）建立应急物资储备管理、信息上报机制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应急物资分类存放、台账管理、定期核查有效期并补充更新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档案管理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竣工图、管线图、业主名册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设施设备维保检测报告、合同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等专人管理、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记录完整、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分类归档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可追溯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2）档案保存期限不少于物业服务合同期限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竣工图、管线图、业主名册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设施设备维保检测报告、合同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等专人管理、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记录完整、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分类归档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可追溯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2）档案保存期限不少于物业服务合同期限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竣工图、管线图、业主名册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设施设备维保检测报告、合同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等专人管理、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记录完整、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分类归档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可追溯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2）档案保存期限不少于物业服务合同期限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节日装饰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布置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1）每年开展1次节日装饰布置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1）每年开展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节日装饰布置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1）每年开展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节日装饰布置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楼栋管理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1）设置专职楼栋管理员：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岗位数量：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服务时间：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智慧物业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1）采用信息化管理系统，实现基础数据数字化存储与管理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1）采用信息化管理系统，实现基础数据、服务数据数字化存储与管理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）提供业主端报修、投诉、公告等线上服务功能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社区活动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1）配合业主委员会、居（村）民委员会开展党建联建、精神文明、公益活动和志愿者活动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1）配合业主委员会、居（村）民委员会开展党建联建、精神文明、公益活动和志愿者活动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2）每年举行2次社区活动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1）配合业主委员会、居（村）民委员会开展党建联建、精神文明、公益活动和志愿者活动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）每年举行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社区活动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、秩序维护服务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秩序维护员及岗位配置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1）专职安保人员、自动消防系统操作人员按规定持证上岗，保持证件有效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2）年龄低于65周岁比例不少于70%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3）设消控室的，实行双人双岗，24小时值守。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1）专职安保人员、自动消防系统操作人员按规定持证上岗，保持证件有效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2）年龄低于65周岁且平均年龄低于55周岁；专职保安人员比例不少于65%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3）设消控室的，实行双人双岗，24小时值守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1）专职安保人员、自动消防系统操作人员按规定持证上岗，保持证件有效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2）年龄低于65周岁且平均年龄低于50周岁；专职保安人员比例不少于80%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3）设消控室的，实行双人双岗，24小时值守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机动车停放管理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1）维护机动车停放秩序；设置导向、限速、限高等交通标志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）发现乱停放、长期占位、占用消防通道、堵塞出入口等及时劝阻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1）维护机动车停放秩序；设置导向、限速、限高等交通标志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）发现乱停放、长期占位、占用消防通道、堵塞出入口等及时劝阻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1）维护机动车停放秩序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,重点时段安排人员引导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；设置导向、限速、限高等交通标志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）发现乱停放、长期占位、占用消防通道、堵塞出入口等及时劝阻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）停车标识、导向标识保持清晰，反光镜、道闸等完好有效，异常情况及时报修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非机动车停放及充电秩序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1）劝阻飞线充电、入户充电、占用通道等行为，并做好记录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2）充电设施周边灭火器材、提示标识保持完好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3）每日巡查非机动车集中停放和充电区域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1）劝阻飞线充电、入户充电、占用通道等行为，并做好记录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2）充电设施周边灭火器材、提示标识保持完好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3）每日巡查非机动车集中停放和充电区域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1）劝阻飞线充电、入户充电、占用通道等行为，并做好记录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2）充电设施周边灭火器材、提示标识保持完好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3）每日巡查非机动车集中停放和充电区域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秩序巡视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1）主干道、出入口、停车场（库）、非机动车集中充电场所、设施设备房外围、围墙周边及其他可能存在风险的管理区域，每天巡逻1次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2）发现风险、高空抛物行为等公共安全风险情况，及时记录、处置并报告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1）主干道、出入口、停车场（库）、非机动车集中充电场所、设施设备房外围、围墙周边及其他可能存在风险的管理区域，每天巡逻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2）发现风险、高空抛物行为等公共安全风险情况，及时记录、处置并报告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1）主干道、出入口、停车场（库）、非机动车集中充电场所、设施设备房外围、围墙周边及其他可能存在风险的管理区域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，每2小时巡逻1次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2）发现风险、高空抛物行为等公共安全风险情况，及时记录、处置并报告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3）重点区域设置巡更点，形成可追溯巡查记录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楼道及公共部位巡查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1）每半月1次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2）重点检查楼道堆物、堵塞疏散通道、乱张贴乱悬挂、门禁及照明异常等情况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3）发现问题及时提示、劝阻、上报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2）重点检查楼道堆物、堵塞疏散通道、乱张贴乱悬挂、门禁及照明异常等情况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3）发现问题及时提示、劝阻、上报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1）每日1次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2）重点检查楼道堆物、堵塞疏散通道、乱张贴乱悬挂、门禁及照明异常等情况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3）发现问题及时提示、劝阻、上报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技防监控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1）设有安防监控等技防设备的，保持24小时运行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2）发现异常情况及时通知相关人员至现场处置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3）监控影像资料、报警记录留存不少于30日，不得删改、扩散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4）建立应急备用钥匙管理制度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1）设有安防监控等技防设备的，保持24小时运行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2）发现异常情况及时通知相关人员至现场处置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3）监控影像资料、报警记录留存不少于30日，不得删改、扩散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4）建立应急备用钥匙管理制度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1）设有安防监控等技防设备的，保持24小时运行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2）发现异常情况及时通知相关人员至现场处置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3）监控影像资料、报警记录留存不少于30日，不得删改、扩散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4）建立应急备用钥匙管理制度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消防安全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1）每周1次开展防火巡查，保持消防通道畅通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2）发现堵塞通道、遮挡消防设施等及时劝阻并记录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3）配合消防设施维保、检测和演练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1）每周1次开展防火巡查，保持消防通道畅通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2）发现堵塞通道、遮挡消防设施等及时劝阻并记录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3）配合消防设施维保、检测和演练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1）每周1次开展防火巡查，保持消防通道畅通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2）发现堵塞通道、遮挡消防设施等及时劝阻并记录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3）配合消防设施维保、检测和演练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有限空间及危险作业管理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1)化粪池、集水井、设备管廊等入口设置警示标识，井盖完好上锁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1)化粪池、集水井、设备管廊等入口设置警示标识，井盖完好上锁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1)化粪池、集水井、设备管廊等入口设置警示标识，井盖完好上锁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门岗与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出入口管理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1）封闭式小区，外来车辆出入登记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2）封闭式小区，大件物品出入登记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3）主出入口专职门岗24小时值守；其他门岗设置：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 xml:space="preserve">□无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个，12小时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个，24小时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个，开放时间：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4）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无人值守的人行通道设置门禁系统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1）外来车辆出入登记并巡视和协助车辆停放；外来人员出入问询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2）大件物品出入登记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3）主出入口专职门岗24小时值守；其他门岗设置：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个，12小时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个，24小时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个，开放时间：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4）无人值守的人行通道设置门禁系统。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1）外来车辆出入实行问询、登记并进行停放引导；外来人员出入实行问询、登记、引导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2）大件物品出入登记并核实业主或使用人信息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3）主入口24小时专职门岗值守（12小时双人双岗）；其他门岗设置：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个，12小时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个，24小时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个，开放时间：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4）无人值守的人行通道设置门禁系统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其他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pStyle w:val="4"/>
        <w:spacing w:line="360" w:lineRule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、清洁卫生服务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楼道内共用部位（地面、栏杆、扶手）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每周清洁1次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每2日清洁1次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每日清洁1次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共用部位门、窗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门、窗每年擦拭1次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门、窗每季度擦拭1次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门、窗每月擦拭1次，门厅玻璃每周擦拭1次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电梯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每周擦拭1次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轿厢四壁、地面、操作面板无明显污渍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隔日擦拭1次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轿厢四壁、地面光洁明亮、无浮灰；操作面板无灰尘、无擦痕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每日擦拭1次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轿厢四壁、地面光洁明亮、无浮灰；操作面板无灰尘、无擦痕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保持轿厢内空气清新、无异味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平台、屋顶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</w:rPr>
              <w:t>坡屋面除外）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每半年清理屋顶、平台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排水无堵塞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汛期、台风来临前清扫屋面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每季度清理屋顶、平台杂物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每季度疏通管道，排水通畅；天沟落水口、排气孔口网罩完好稳固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汛期、台风来临前清扫屋面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每季度清理屋顶、平台杂物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每季度疏通管道，排水通畅；天沟落水口、排气孔口网罩完好稳固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汛期、台风来临前清扫屋面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公共道路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地面每周清扫不少于3次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明沟每月清扫1次，汛期及时清扫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地面每日清扫1次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明沟每周清扫1次，汛期及时清扫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地面每日清扫2次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明沟每周清扫1次，汛期及时清扫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广场地砖面每月冲洗1次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宣传栏、健身休闲设施等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每月清洁1次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每月清洁2次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每周清洁1次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非机动车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停车（库）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每周清扫2次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每周清扫3次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机动车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停车（库）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坡道、地面无明显积水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坡道、地面无明显积水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每周清扫2次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反光镜、灯具、消防门、消防栓箱、道闸清洁，无明显污迹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坡道、地面无明显积水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每周清扫3次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反光镜、灯具、消防门、消防栓箱、道闸清洁，无明显污迹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生活垃圾箱房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投放点开放时间张贴于显眼处；生活垃圾日产日清；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垃圾分类投放点：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□定时开放，时间：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  <w:t xml:space="preserve">        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□24小时开放</w:t>
            </w:r>
          </w:p>
          <w:p>
            <w:pPr>
              <w:numPr>
                <w:ilvl w:val="0"/>
                <w:numId w:val="1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按要求配置分类垃圾箱/桶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;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垃圾无满溢</w:t>
            </w:r>
          </w:p>
          <w:p>
            <w:pPr>
              <w:numPr>
                <w:ilvl w:val="0"/>
                <w:numId w:val="1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分类驳运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每天冲洗，保持无明显异味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投放点开放时间张贴于显眼处；生活垃圾日产日清；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垃圾分类投放点：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□定时开放，时间：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  <w:t xml:space="preserve">        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□24小时开放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按要求配置分类垃圾箱/桶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;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垃圾无满溢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分类驳运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每天冲洗，保持无明显异味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投放点开放时间张贴于显眼处；生活垃圾日产日清；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垃圾分类投放点：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□定时开放，时间：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  <w:t xml:space="preserve">        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□24小时开放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按要求配置分类垃圾箱/桶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;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垃圾无满溢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分类驳运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每天冲洗，保持无明显异味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装修垃圾堆放场所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依约设置集中堆放场所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临时堆放点（袋装化收集点），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设置指示标志；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保持堆放场所整洁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依约设置集中堆放场所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临时堆放点（袋装化收集点），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设置指示标志；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保持堆放场所整洁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依约设置集中堆放场所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临时堆放点（袋装化收集点），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设置指示标志；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保持堆放场所整洁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消毒灭杀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每年对垃圾箱/桶、垃圾房、污雨水井、化粪池、绿地、设备房、楼道、停车场及配套设施等实施消杀灭害1次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突发公共卫生事件按防疫部门要求消杀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每季度对垃圾箱／桶、垃圾房、污雨水井、化粪池、绿地、设备房、楼道、停车场及配套设施等实施消杀灭害1次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突发公共卫生事件按防疫部门要求消杀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每月对垃圾箱／桶、垃圾房、污雨水井、化粪池、绿地、设备房、楼道、停车场及配套设施等实施消杀灭害1次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突发公共卫生事件按防疫部门要求消杀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水池（景）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定期打捞漂浮物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dstrike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定期维护水景设施水泵及控制系统；设置安全警示标识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定期打捞漂浮物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水面无杂物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定期维护水景设施水泵及控制系统；设置安全警示标识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2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定期打捞漂浮物</w:t>
            </w:r>
          </w:p>
          <w:p>
            <w:pPr>
              <w:numPr>
                <w:ilvl w:val="0"/>
                <w:numId w:val="2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水体清洁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水池（景）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的水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定期更换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水池（景）底定期清洗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定期投放药剂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定期维护水景设施水泵及控制系统；设置安全警示标识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专项保养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□对外墙面、外幕墙定期清洗，保持整洁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□对花岗岩、大理石地面定期保养，保持地面材质原貌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白蚁防治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</w:tbl>
    <w:p/>
    <w:p>
      <w:pPr>
        <w:pStyle w:val="4"/>
        <w:spacing w:line="360" w:lineRule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、绿化管理服务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绿化区日常清洁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绿化区干净，无明显杂物、垃圾、残枝枯叶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标牌洁净、完好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发现乱堆物、毁绿等情况及时劝阻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绿化区干净，无明显杂物、垃圾、残枝枯叶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标牌洁净、完好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每周巡查不少于1次，发现乱堆物、毁绿等情况及时劝阻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绿化区干净，无明显杂物、垃圾、残枝枯叶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标牌洁净、完好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每周巡查不少于1次，重点绿化区每日关注，发现乱堆物、毁绿等情况及时劝阻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草坪、地被植物养护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2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无大面积枯死</w:t>
            </w:r>
          </w:p>
          <w:p>
            <w:pPr>
              <w:adjustRightInd/>
              <w:snapToGrid/>
              <w:spacing w:before="0" w:after="2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无大面积枯死，黄土裸露面积不高于10%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无明显杂草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修剪、整理及时，每年2次以上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无明显枯死和黄土裸露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无明显杂草，草面基本平整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修剪、整理及时，每年3次以上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灌木、绿篱及造型植物养护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死株、缺株、枯枝及时处置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每年修剪2次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死株、缺株、枯枝及时处置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每年修剪2次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绿篱、球类、造型植物保持基本造型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死株、缺株、枯枝及时处置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每年修剪2次以上，并根据长势和造型要求适时补充修剪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绿篱、球类、造型植物保持基本造型，并做到枝叶茂密、圆整、无脱节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乔木养护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倒伏、死树及时处理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枯枝、断枝、低垂枝等影响安全或通行的，及时清理和上报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汛期、台风前后开展必要排查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倒伏、死树及时处理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枯枝、断枝、低垂枝等影响安全或通行的，及时清理和上报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汛期、台风前后开展必要排查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倒伏、死树及时处理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枯枝、断枝、低垂枝等影响安全或通行的，及时清理和上报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春季、汛前、台风前后开展专项排查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每年一次常规修剪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重点树木、古树名木按规定养护并保留记录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浇灌、排水与土壤养护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高温、干旱季节及时灌溉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雨后及时疏排绿地积水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季节制定浇灌安排，保持有效供水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雨后及时疏排绿地积水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按季节和植物种类实施精细浇灌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雨后及时疏排绿地积水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高温干旱、寒潮、汛期等重点时段有针对性养护措施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病虫害防治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3"/>
              </w:num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发现病虫害及时处置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施药作业做好安全提示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发现病虫害及时处置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定期巡查病虫害高发区域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施药作业做好安全提示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发现病虫害及时处置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定期巡查病虫害高发区域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重点季节开展病虫害专项检查和防治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施药作业做好安全提示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  <w:t>4.7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绿化标识与文明劝导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设置必要的爱绿护绿、禁止踩踏等提示标识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劝阻践踏绿化、占用绿地、私搭乱种等行为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设置必要的爱绿护绿、禁止踩踏等提示标识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劝阻践踏绿化、占用绿地、私搭乱种等行为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设置必要的爱绿护绿、禁止踩踏等提示标识。重点树木、花坛花境可设置铭牌或说明标识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劝阻践踏绿化、占用绿地、私搭乱种等行为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  <w:t>4.8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养护计划与台账记录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4"/>
              </w:num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记录修剪、浇灌、病虫害防治等主要事项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制定年度绿化养护计划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记录修剪、浇灌、病虫害防治等主要事项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制定年度绿化养护计划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记录修剪、浇灌、病虫害防治等主要事项，同时建立绿化问题清单和养护台账，实行整改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制定季度绿化养护计划和重点季节专项安排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定期汇总绿化养护情况，优化重点区域养护措施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2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花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  <w:t>坛、花境养护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保持花卉生长良好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枯萎花卉、黄叶、杂草及时清理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保持花卉长势良好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枯萎花卉、黄叶、杂草及时清理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每年2次以上花卉布置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保持花卉长势良好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枯萎花卉、黄叶、杂草及时清理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每年4次以上花卉布置，并结合重要节日、重要节点开展应景布置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pStyle w:val="4"/>
        <w:spacing w:line="360" w:lineRule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、共用部位和共用设施设备日常管理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工程维修人员及岗位配置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配置维修工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配置维修工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名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设立专门工程部门或工程维修岗位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配置维修工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名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设立专门工程部门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6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报修诉求</w:t>
            </w:r>
          </w:p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响应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每日8小时提供日常维修服务；24小时提供水、电等应急报修响应和先期处置服务，涉及专业单位维修的，及时联络并配合处置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一般维修4小时内响应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急修2小时到现场处置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3个工作日内处理完成或反馈阶段性处理意见，维修完工后24小时内回访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每日8小时提供日常维修服务；24小时提供水、电等应急报修响应和先期处置服务，涉及专业单位维修的，及时联络并配合处置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一般维修3小时内响应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急修30分钟到现场处置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3个工作日内处理完成或反馈阶段性处理意见，维修完工后24小时内回访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每日12小时提供日常维修服务；24小时提供水、电等应急报修响应和先期处置服务，涉及专业单位维修的，及时联络并配合处置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一般维修1小时内响应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急修30分钟到现场处置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3个工作日内处理完成或反馈阶段性处理意见，维修完工后12小时内回访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房屋主体及外立面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高坠等隐患巡查每月1次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发现问题及时上报，必要情况设置警戒线和警示标识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高坠等隐患巡查每月1次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发现问题及时上报，必要情况设置警戒线和警示标识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高坠等隐患巡查每月1次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发现问题及时上报，必要情况设置警戒线和警示标识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6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附属设施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围墙栅栏、景观小品、休闲椅、室外健身设施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无障碍设施，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应保证器械、设施的安全使用，发现损坏立即修理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围墙栅栏、景观小品、休闲椅、室外健身设施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无障碍设施，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应保证器械、设施的安全使用，发现损坏立即修理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围墙栅栏、景观小品、休闲椅、室外健身设施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无障碍设施，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应保证器械、设施的安全使用，发现损坏立即修理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6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雷电防护装置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避雷接地日常巡检，确保装置完好，连接牢固、无损，接地电阻安全可靠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18层及以上建筑按规定每年检测1次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避雷接地日常巡检，确保装置完好，连接牢固、无损，接地电阻安全可靠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18层及以上建筑按规定每年检测1次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避雷接地日常巡检，确保装置完好，连接牢固、无损，接地电阻安全可靠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18层及以上建筑按规定每年检测1次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供电系统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每月巡检1次，保持正常运行，记录完整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公共电器箱柜、管道井（水表间）、强弱电间按规定上锁、表体干净；内无堆物、无杂物；防火封堵完好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有高压变（配）电的，绝缘垫、绝缘手套、绝缘靴等安全用具配置齐全、检测合格、定点存放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每月巡检1次，保持正常运行，记录完整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公共电器箱柜、管道井（水表间）、强弱电间按规定上锁、表体干净；内无堆物、无杂物；防火封堵完好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有高压变（配）电的，绝缘垫、绝缘手套、绝缘靴等安全用具配置齐全、检测合格、定点存放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每月巡检1次，保持正常运行，记录完整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公共电器箱柜、管道井（水表间）、强弱电间按规定上锁、表体干净；内无堆物、无杂物；防火封堵完好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有高压变（配）电的，绝缘垫、绝缘手套、绝缘靴等安全用具配置齐全、检测合格、定点存放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弱电系统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做好日常维保，保持正常运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记录完整、可追溯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做好日常维保，保持正常运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记录完整、可追溯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做好日常维保，保持正常运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记录完整、可追溯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消防系统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每月巡检1次，维保1次，保持正常运行，记录完整、可追溯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灭火器按规定配置、定位放置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*3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消火栓箱内设备配备齐全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每月巡检1次，维保1次，保持正常运行，记录完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灭火器按规定配置、定位放置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*3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消火栓箱内设备配备齐全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每月巡检1次，维保1次，保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持正常运行，记录完整、可追溯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灭火器按规定配置、定位放置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*3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消火栓箱内设备配备齐全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5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升降系统按规定维保，每年进行1次年检；限速器15年以下2年校验1次，15年以上1年1次。取得《安全使用许可证》及检验报告，保障其运行可靠、安全</w:t>
            </w:r>
          </w:p>
          <w:p>
            <w:pPr>
              <w:numPr>
                <w:ilvl w:val="0"/>
                <w:numId w:val="5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发生故障，30分钟内到现场并解困，必要情况设置警戒线和警示标识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轿厢内公示维保单位名称、应急救援电话及上次维保时间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升降系统按规定维保，每年进行1次年检；限速器15年以下2年校验1次，15年以上1年1次。取得《安全使用许可证》及检验报告，保障其运行可靠、安全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发生故障，30分钟内到现场并解困，必要情况设置警戒线和警示标识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轿厢内公示维保单位名称、应急救援电话及上次维保时间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升降系统按规定维保，每年进行1次年检；限速器15年以下2年校验1次，15年以上1年1次。取得《安全使用许可证》及检验报告，保障其运行可靠、安全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发生故障，30分钟内到现场并解困，必要情况设置警戒线和警示标识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轿厢内公示维保单位名称、应急救援电话及上次维保时间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排水泵及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管网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每月巡检，保障排水畅通，无污水外溢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每月巡检，保障排水畅通，无污水外溢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每月巡检，保障排水畅通，无污水外溢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未移交供水部门的二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次供水设施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每月巡检，保障二次供水设施正常运行，供水畅通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水箱、蓄水池每年清洗2次，水质监测每季度1次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水箱及蓄水池实行双人双锁管理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每月巡检，保障二次供水设施正常运行，供水畅通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水箱、蓄水池每年清洗2次，水质监测每季度1次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水箱及蓄水池实行双人双锁管理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每月巡检，保障二次供水设施正常运行，供水畅通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水箱、蓄水池每年清洗2次，水质监测每季度1次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水箱及蓄水池实行双人双锁管理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空调系统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定期维护，工作正常，管道完好，阀件及仪表齐备，无跑、冒、滴、漏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每年清洗2次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定期维护，工作正常，管道完好，阀件及仪表齐备，无跑、冒、滴、漏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每年清洗2次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会所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 xml:space="preserve">使用方式：□内部独享  </w:t>
            </w:r>
            <w:r>
              <w:rPr>
                <w:rFonts w:ascii="Wingdings 2" w:hAnsi="Wingdings 2" w:eastAsia="仿宋_GB2312" w:cs="仿宋_GB2312"/>
                <w:b w:val="0"/>
                <w:bCs w:val="0"/>
                <w:sz w:val="18"/>
                <w:szCs w:val="18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市场化运营（不列入物业费）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使用方式：□内部独享 □市场化运营（不列入物业费）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5.14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人防设施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发现占用人防通道的，按规定劝阻、制止、报告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发现占用人防通道的，按规定劝阻、制止、报告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发现占用人防通道的，按规定劝阻、制止、报告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5.15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新能源汽车充电设施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充电区域消防器材配置齐全、保持有效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电缆桥架敷设规范、无破损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充电区域消防器材配置齐全、保持有效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电缆桥架敷设规范、无破损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充电区域消防器材配置齐全、保持有效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电缆桥架敷设规范、无破损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5.16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二级生化处理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二次生化处理设施设备使用功能完好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定期维护保养，记录完整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二次生化处理设施设备使用功能完好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定期维护保养，记录完整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二次生化处理设施设备使用功能完好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定期维护保养，记录完整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5.17</w:t>
            </w:r>
            <w:bookmarkStart w:id="0" w:name="_GoBack"/>
            <w:bookmarkEnd w:id="0"/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/>
    <w:p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、延伸服务</w:t>
      </w:r>
    </w:p>
    <w:tbl>
      <w:tblPr>
        <w:tblStyle w:val="2"/>
        <w:tblW w:w="94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518"/>
        <w:gridCol w:w="3125"/>
        <w:gridCol w:w="2377"/>
        <w:gridCol w:w="16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tblHeader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服务方式/频次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6.1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快递服务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包裹代收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快递暂存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上门配送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 xml:space="preserve">        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6.2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居家养老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生活照料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助餐点送餐上门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助洁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助行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助医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助急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康复辅具租赁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6.3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垃圾代收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生活垃圾定时上门收取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6.4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家装服务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家具组装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装修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6.5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车辆服务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代泊车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预约洗车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6.6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宠物服务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宠物洗护美容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宠物疫苗接种、驱虫、简单体检等基础医疗服务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6.7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房屋资产托管服务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招租管理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租金代收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日常维护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税务提醒与申报协助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6.8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其他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</w:rPr>
            </w:pP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right="420" w:righ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right="420" w:righ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;SimHei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;微软雅黑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Regular;Times New Roman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suff w:val="nothing"/>
      <w:lvlText w:val="%1）"/>
      <w:lvlJc w:val="left"/>
      <w:pPr>
        <w:tabs>
          <w:tab w:val="left" w:pos="0"/>
        </w:tabs>
        <w:ind w:left="0" w:firstLine="0"/>
      </w:pPr>
    </w:lvl>
  </w:abstractNum>
  <w:abstractNum w:abstractNumId="1">
    <w:nsid w:val="BF205925"/>
    <w:multiLevelType w:val="singleLevel"/>
    <w:tmpl w:val="BF205925"/>
    <w:lvl w:ilvl="0" w:tentative="0">
      <w:start w:val="1"/>
      <w:numFmt w:val="decimal"/>
      <w:suff w:val="nothing"/>
      <w:lvlText w:val="%1）"/>
      <w:lvlJc w:val="left"/>
      <w:pPr>
        <w:tabs>
          <w:tab w:val="left" w:pos="0"/>
        </w:tabs>
        <w:ind w:left="0" w:firstLine="0"/>
      </w:pPr>
    </w:lvl>
  </w:abstractNum>
  <w:abstractNum w:abstractNumId="2">
    <w:nsid w:val="F4EC6BBE"/>
    <w:multiLevelType w:val="singleLevel"/>
    <w:tmpl w:val="F4EC6BBE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FDEB1DDA"/>
    <w:multiLevelType w:val="singleLevel"/>
    <w:tmpl w:val="FDEB1DDA"/>
    <w:lvl w:ilvl="0" w:tentative="0">
      <w:start w:val="1"/>
      <w:numFmt w:val="decimal"/>
      <w:suff w:val="nothing"/>
      <w:lvlText w:val="%1）"/>
      <w:lvlJc w:val="left"/>
    </w:lvl>
  </w:abstractNum>
  <w:abstractNum w:abstractNumId="4">
    <w:nsid w:val="59ADCABA"/>
    <w:multiLevelType w:val="singleLevel"/>
    <w:tmpl w:val="59ADCABA"/>
    <w:lvl w:ilvl="0" w:tentative="0">
      <w:start w:val="1"/>
      <w:numFmt w:val="decimal"/>
      <w:suff w:val="nothing"/>
      <w:lvlText w:val="%1）"/>
      <w:lvlJc w:val="left"/>
      <w:pPr>
        <w:tabs>
          <w:tab w:val="left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862BE"/>
    <w:rsid w:val="1AA862BE"/>
    <w:rsid w:val="75D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蚌埠范本-标题-三级-黑体-小四-左对齐-固定值20"/>
    <w:basedOn w:val="1"/>
    <w:qFormat/>
    <w:uiPriority w:val="0"/>
    <w:pPr>
      <w:keepNext/>
      <w:keepLines/>
      <w:autoSpaceDE/>
      <w:spacing w:before="0" w:after="0" w:line="400" w:lineRule="exact"/>
      <w:outlineLvl w:val="2"/>
    </w:pPr>
    <w:rPr>
      <w:rFonts w:ascii="Times New Roman" w:hAnsi="Times New Roman" w:eastAsia="黑体;SimHei" w:cs="黑体;SimHei"/>
      <w:color w:val="000000"/>
      <w:kern w:val="2"/>
      <w:sz w:val="24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2026-09-17T07:03:00Z</dcterms:created>
  <dc:creator>宁静致远i</dc:creator>
  <cp:lastModifiedBy>宁静致远i</cp:lastModifiedBy>
  <dcterms:modified xsi:type="dcterms:W3CDTF">2026-09-30T07:53:12Z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