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insoku w:val="0"/>
        <w:overflowPunct w:val="0"/>
        <w:spacing w:before="0" w:line="495" w:lineRule="exact"/>
        <w:rPr>
          <w:rFonts w:hint="eastAsia" w:ascii="华文中宋" w:hAnsi="华文中宋" w:eastAsia="华文中宋" w:cs="仿宋_GB2312"/>
          <w:b/>
          <w:spacing w:val="6"/>
          <w:sz w:val="40"/>
          <w:szCs w:val="40"/>
          <w:highlight w:val="none"/>
        </w:rPr>
      </w:pPr>
      <w:bookmarkStart w:id="2" w:name="_GoBack"/>
      <w:bookmarkEnd w:id="2"/>
      <w:bookmarkStart w:id="0" w:name="OLE_LINK2"/>
      <w:r>
        <w:rPr>
          <w:rFonts w:hint="eastAsia" w:ascii="华文中宋" w:hAnsi="华文中宋" w:eastAsia="华文中宋" w:cs="仿宋_GB2312"/>
          <w:b/>
          <w:spacing w:val="6"/>
          <w:sz w:val="40"/>
          <w:szCs w:val="40"/>
          <w:highlight w:val="none"/>
        </w:rPr>
        <w:t>《</w:t>
      </w:r>
      <w:bookmarkStart w:id="1" w:name="OLE_LINK1"/>
      <w:r>
        <w:rPr>
          <w:rFonts w:hint="eastAsia" w:ascii="华文中宋" w:hAnsi="华文中宋" w:eastAsia="华文中宋"/>
          <w:b/>
          <w:spacing w:val="11"/>
          <w:sz w:val="40"/>
          <w:szCs w:val="24"/>
        </w:rPr>
        <w:t>关于加强</w:t>
      </w:r>
      <w:r>
        <w:rPr>
          <w:rFonts w:hint="eastAsia" w:ascii="华文中宋" w:hAnsi="华文中宋" w:eastAsia="华文中宋"/>
          <w:b/>
          <w:spacing w:val="9"/>
          <w:sz w:val="40"/>
          <w:szCs w:val="24"/>
        </w:rPr>
        <w:t>本</w:t>
      </w:r>
      <w:r>
        <w:rPr>
          <w:rFonts w:hint="eastAsia" w:ascii="华文中宋" w:hAnsi="华文中宋" w:eastAsia="华文中宋"/>
          <w:b/>
          <w:spacing w:val="11"/>
          <w:sz w:val="40"/>
          <w:szCs w:val="24"/>
        </w:rPr>
        <w:t>市优秀历</w:t>
      </w:r>
      <w:r>
        <w:rPr>
          <w:rFonts w:hint="eastAsia" w:ascii="华文中宋" w:hAnsi="华文中宋" w:eastAsia="华文中宋"/>
          <w:b/>
          <w:spacing w:val="9"/>
          <w:sz w:val="40"/>
          <w:szCs w:val="24"/>
        </w:rPr>
        <w:t>史</w:t>
      </w:r>
      <w:r>
        <w:rPr>
          <w:rFonts w:hint="eastAsia" w:ascii="华文中宋" w:hAnsi="华文中宋" w:eastAsia="华文中宋"/>
          <w:b/>
          <w:spacing w:val="11"/>
          <w:sz w:val="40"/>
          <w:szCs w:val="24"/>
        </w:rPr>
        <w:t>建筑管理</w:t>
      </w:r>
      <w:r>
        <w:rPr>
          <w:rFonts w:hint="eastAsia" w:ascii="华文中宋" w:hAnsi="华文中宋" w:eastAsia="华文中宋"/>
          <w:b/>
          <w:spacing w:val="9"/>
          <w:sz w:val="40"/>
          <w:szCs w:val="24"/>
        </w:rPr>
        <w:t>的</w:t>
      </w:r>
      <w:r>
        <w:rPr>
          <w:rFonts w:hint="eastAsia" w:ascii="华文中宋" w:hAnsi="华文中宋" w:eastAsia="华文中宋"/>
          <w:b/>
          <w:spacing w:val="11"/>
          <w:sz w:val="40"/>
          <w:szCs w:val="24"/>
        </w:rPr>
        <w:t>通</w:t>
      </w:r>
      <w:r>
        <w:rPr>
          <w:rFonts w:hint="eastAsia" w:ascii="华文中宋" w:hAnsi="华文中宋" w:eastAsia="华文中宋"/>
          <w:b/>
          <w:sz w:val="40"/>
          <w:szCs w:val="24"/>
        </w:rPr>
        <w:t>知</w:t>
      </w:r>
      <w:bookmarkEnd w:id="1"/>
      <w:r>
        <w:rPr>
          <w:rFonts w:hint="eastAsia" w:ascii="华文中宋" w:hAnsi="华文中宋" w:eastAsia="华文中宋" w:cs="仿宋_GB2312"/>
          <w:b/>
          <w:spacing w:val="6"/>
          <w:sz w:val="40"/>
          <w:szCs w:val="40"/>
          <w:highlight w:val="none"/>
        </w:rPr>
        <w:t>》</w:t>
      </w:r>
    </w:p>
    <w:p>
      <w:pPr>
        <w:pStyle w:val="6"/>
        <w:kinsoku w:val="0"/>
        <w:overflowPunct w:val="0"/>
        <w:spacing w:before="0" w:line="495" w:lineRule="exact"/>
        <w:jc w:val="center"/>
        <w:rPr>
          <w:rFonts w:hint="eastAsia" w:ascii="华文中宋" w:hAnsi="华文中宋" w:eastAsia="华文中宋" w:cs="仿宋_GB2312"/>
          <w:b/>
          <w:spacing w:val="6"/>
          <w:sz w:val="40"/>
          <w:szCs w:val="40"/>
          <w:highlight w:val="none"/>
        </w:rPr>
      </w:pPr>
      <w:r>
        <w:rPr>
          <w:rFonts w:hint="eastAsia" w:ascii="华文中宋" w:hAnsi="华文中宋" w:eastAsia="华文中宋" w:cs="仿宋_GB2312"/>
          <w:b/>
          <w:spacing w:val="6"/>
          <w:sz w:val="40"/>
          <w:szCs w:val="40"/>
          <w:highlight w:val="none"/>
        </w:rPr>
        <w:t>的起草说明</w:t>
      </w:r>
    </w:p>
    <w:bookmarkEnd w:id="0"/>
    <w:p>
      <w:pPr>
        <w:snapToGrid w:val="0"/>
        <w:spacing w:line="360" w:lineRule="auto"/>
        <w:ind w:firstLine="800" w:firstLineChars="250"/>
        <w:jc w:val="left"/>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800" w:firstLineChars="250"/>
        <w:jc w:val="left"/>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val="en-US" w:eastAsia="zh-CN"/>
        </w:rPr>
        <w:t>起草背景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本次修订主要基于以下三方面原因</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一是保障管理连续性。</w:t>
      </w:r>
      <w:r>
        <w:rPr>
          <w:rFonts w:hint="eastAsia" w:ascii="仿宋_GB2312" w:hAnsi="仿宋_GB2312" w:eastAsia="仿宋_GB2312" w:cs="仿宋_GB2312"/>
          <w:sz w:val="32"/>
          <w:szCs w:val="32"/>
        </w:rPr>
        <w:t>原</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rPr>
        <w:t>加强本市优秀历史建筑管理的通知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（沪</w:t>
      </w:r>
      <w:r>
        <w:rPr>
          <w:rFonts w:hint="eastAsia" w:ascii="仿宋_GB2312" w:hAnsi="仿宋_GB2312" w:eastAsia="仿宋_GB2312" w:cs="仿宋_GB2312"/>
          <w:sz w:val="32"/>
          <w:szCs w:val="32"/>
          <w:lang w:val="en-US" w:eastAsia="zh-CN"/>
        </w:rPr>
        <w:t>房规范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以下简称原《通知》）</w:t>
      </w:r>
      <w:r>
        <w:rPr>
          <w:rFonts w:hint="eastAsia" w:ascii="仿宋_GB2312" w:hAnsi="仿宋_GB2312" w:eastAsia="仿宋_GB2312" w:cs="仿宋_GB2312"/>
          <w:strike w:val="0"/>
          <w:dstrike w:val="0"/>
          <w:sz w:val="32"/>
          <w:szCs w:val="32"/>
          <w:highlight w:val="none"/>
        </w:rPr>
        <w:t>于</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1日起实施</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进一步加强本市优秀历史建筑保护管理，明确市、区两级管理部门的分工和职责，落实属地化管理</w:t>
      </w:r>
      <w:r>
        <w:rPr>
          <w:rFonts w:hint="eastAsia" w:ascii="仿宋_GB2312" w:hAnsi="仿宋_GB2312" w:eastAsia="仿宋_GB2312" w:cs="仿宋_GB2312"/>
          <w:sz w:val="32"/>
          <w:szCs w:val="32"/>
          <w:highlight w:val="none"/>
        </w:rPr>
        <w:t>起到了重要作用，</w:t>
      </w:r>
      <w:r>
        <w:rPr>
          <w:rFonts w:hint="eastAsia" w:ascii="仿宋_GB2312" w:hAnsi="仿宋_GB2312" w:eastAsia="仿宋_GB2312" w:cs="仿宋_GB2312"/>
          <w:sz w:val="32"/>
          <w:szCs w:val="32"/>
          <w:highlight w:val="none"/>
          <w:lang w:val="en-US" w:eastAsia="zh-CN"/>
        </w:rPr>
        <w:t>现将于6月30日到期</w:t>
      </w:r>
      <w:r>
        <w:rPr>
          <w:rFonts w:hint="eastAsia" w:ascii="仿宋_GB2312" w:hAnsi="仿宋_GB2312" w:eastAsia="仿宋_GB2312" w:cs="仿宋_GB2312"/>
          <w:sz w:val="32"/>
          <w:szCs w:val="32"/>
          <w:highlight w:val="none"/>
        </w:rPr>
        <w:t>失效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需重新修订发布。</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bCs/>
          <w:sz w:val="32"/>
          <w:szCs w:val="32"/>
          <w:lang w:val="en-US" w:eastAsia="zh-CN"/>
        </w:rPr>
        <w:t>对接上位法修订要求。</w:t>
      </w:r>
      <w:r>
        <w:rPr>
          <w:rFonts w:hint="eastAsia" w:ascii="仿宋_GB2312" w:hAnsi="仿宋_GB2312" w:eastAsia="仿宋_GB2312" w:cs="仿宋_GB2312"/>
          <w:sz w:val="32"/>
          <w:szCs w:val="32"/>
          <w:lang w:val="en-US" w:eastAsia="zh-CN"/>
        </w:rPr>
        <w:t>2023年12月28日，人大会议通过《上海市历史风貌区和优秀历史建筑保护条例》（以下简称《保护条例》）修订并施行。新修订的《保护条例》强化了保护责任人的责任和义务。为与上位法保持一致，确保法规要求落地执行，对原《通知》进行相应修订，将《保护条例》中关于保护责任人的要求融入保护管理工作中。</w:t>
      </w:r>
      <w:r>
        <w:rPr>
          <w:rFonts w:hint="eastAsia" w:ascii="仿宋_GB2312" w:hAnsi="仿宋_GB2312" w:eastAsia="仿宋_GB2312" w:cs="仿宋_GB2312"/>
          <w:b/>
          <w:bCs/>
          <w:sz w:val="32"/>
          <w:szCs w:val="32"/>
          <w:lang w:val="en-US" w:eastAsia="zh-CN"/>
        </w:rPr>
        <w:t>三是适应审批流程优化</w:t>
      </w:r>
      <w:r>
        <w:rPr>
          <w:rFonts w:hint="eastAsia" w:ascii="仿宋_GB2312" w:hAnsi="仿宋_GB2312" w:eastAsia="仿宋_GB2312" w:cs="仿宋_GB2312"/>
          <w:sz w:val="32"/>
          <w:szCs w:val="32"/>
          <w:lang w:val="en-US" w:eastAsia="zh-CN"/>
        </w:rPr>
        <w:t>。 2023年，本市印发了《上海市优秀历史建筑修缮（装修改造）设计方案审批管理办法》，对优秀历史建筑修缮设计方案的审批流程、管理要求进行了优化。为保障管理政策的统一性和连贯性，避免执行中出现政策冲突，对原《通知》中关于工程管理的相关规定进行同步衔接和调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、主要内容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《通知》包含职责分工、日常管理、工程管理、保障机制、施行日期五个部分，主要内容如下。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（一）进一步</w:t>
      </w:r>
      <w:r>
        <w:rPr>
          <w:rFonts w:hint="default" w:ascii="Times New Roman" w:hAnsi="Times New Roman" w:eastAsia="楷体_GB2312" w:cs="Times New Roman"/>
          <w:b/>
          <w:sz w:val="32"/>
          <w:szCs w:val="32"/>
          <w:lang w:val="en-US" w:eastAsia="zh-CN"/>
        </w:rPr>
        <w:t>明确职责分工</w:t>
      </w:r>
    </w:p>
    <w:p>
      <w:pPr>
        <w:autoSpaceDE/>
        <w:autoSpaceDN/>
        <w:adjustRightInd/>
        <w:spacing w:line="600" w:lineRule="exact"/>
        <w:ind w:firstLine="640" w:firstLineChars="200"/>
        <w:jc w:val="both"/>
        <w:rPr>
          <w:rFonts w:hint="default"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市房屋行政管理部门负责政策制定、综合协调、业务指导以及《保护条例》规定的相关事项。市历史建筑保护事务中心负责历史建筑保护管理日常事务性工作。区房屋行政管理部门负责本辖区内优秀历史建筑的保护管理，全过程参与本辖区范围内优秀历史建筑修缮（装修改造）工程日常管理。</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市建设行政管理部门负责需办理建设工程规划许可证，以及涉及建筑主体和承重结构变动、使用功能调整、消防设施变动、房屋立面改动等需办理施工图审查的非居住类优秀历史建筑的修缮（装修改造）工程的建设管理。</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各区住宅修缮管理部门负责居住类优秀历史建筑、无需办理建设工程规划许可证且无需办理施工图审查的非居住类优秀历史建筑的修缮（装修改造）工程的建设管理。</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各街镇城市网格化管理部门负责辖区内优秀历史建筑的日常巡查及网格化管理。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（二）进一步</w:t>
      </w:r>
      <w:r>
        <w:rPr>
          <w:rFonts w:hint="default" w:ascii="Times New Roman" w:hAnsi="Times New Roman" w:eastAsia="楷体_GB2312" w:cs="Times New Roman"/>
          <w:b/>
          <w:sz w:val="32"/>
          <w:szCs w:val="32"/>
          <w:lang w:val="en-US" w:eastAsia="zh-CN"/>
        </w:rPr>
        <w:t>强化日常管理</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要求各区房屋行政管理部门加强优秀历史建筑日常维修养护的监管，并根据各区实际情况制定相关措施，督促和指导建筑的保护责任人、使用人和有关的物业管理单位严格按保护管理要求履行保护责任和实施物业管理，保障建筑安全，杜绝失修失养。对优秀历史建筑保护责任人、使用人未履行保护责任的，由区房屋行政管理部门责令改正；拒不改正的，由城管执法部门进行处罚。对未履行修缮义务且情节严重的，区房屋行政管理部门可向不动产登记机构申请记载于不动产登记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（三）进一步</w:t>
      </w:r>
      <w:r>
        <w:rPr>
          <w:rFonts w:hint="default" w:ascii="Times New Roman" w:hAnsi="Times New Roman" w:eastAsia="楷体_GB2312" w:cs="Times New Roman"/>
          <w:b/>
          <w:sz w:val="32"/>
          <w:szCs w:val="32"/>
          <w:lang w:val="en-US" w:eastAsia="zh-CN"/>
        </w:rPr>
        <w:t>优化工程管理</w:t>
      </w:r>
    </w:p>
    <w:p>
      <w:pPr>
        <w:numPr>
          <w:ilvl w:val="0"/>
          <w:numId w:val="0"/>
        </w:numPr>
        <w:snapToGrid w:val="0"/>
        <w:spacing w:line="600" w:lineRule="atLeast"/>
        <w:ind w:firstLine="640" w:firstLineChars="200"/>
        <w:jc w:val="both"/>
        <w:rPr>
          <w:rFonts w:hint="eastAsia" w:ascii="仿宋_GB2312" w:hAnsi="Times New Roman" w:eastAsia="仿宋_GB2312"/>
          <w:sz w:val="32"/>
          <w:szCs w:val="24"/>
          <w:lang w:eastAsia="zh-CN"/>
        </w:rPr>
      </w:pPr>
      <w:r>
        <w:rPr>
          <w:rFonts w:hint="eastAsia" w:ascii="Times New Roman" w:hAnsi="Times New Roman" w:eastAsia="仿宋_GB2312"/>
          <w:color w:val="121212"/>
          <w:sz w:val="32"/>
          <w:szCs w:val="24"/>
          <w:lang w:val="en-US" w:eastAsia="zh-CN"/>
        </w:rPr>
        <w:t>对于投资额100万元及以上的优秀历史建筑的修缮（装修改造）工程，应当通过</w:t>
      </w:r>
      <w:r>
        <w:rPr>
          <w:rFonts w:hint="eastAsia" w:ascii="仿宋_GB2312" w:hAnsi="Times New Roman" w:eastAsia="仿宋_GB2312"/>
          <w:sz w:val="32"/>
          <w:szCs w:val="24"/>
        </w:rPr>
        <w:t>上海市政府“一网通办”总门户的上海市工程建设项目审批管理系统</w:t>
      </w:r>
      <w:r>
        <w:rPr>
          <w:rFonts w:hint="eastAsia" w:ascii="仿宋_GB2312" w:hAnsi="Times New Roman" w:eastAsia="仿宋_GB2312"/>
          <w:sz w:val="32"/>
          <w:szCs w:val="24"/>
          <w:lang w:val="en-US" w:eastAsia="zh-CN"/>
        </w:rPr>
        <w:t>进行</w:t>
      </w:r>
      <w:r>
        <w:rPr>
          <w:rFonts w:hint="eastAsia" w:ascii="仿宋_GB2312" w:hAnsi="Times New Roman" w:eastAsia="仿宋_GB2312"/>
          <w:sz w:val="32"/>
          <w:szCs w:val="24"/>
        </w:rPr>
        <w:t>申报</w:t>
      </w:r>
      <w:r>
        <w:rPr>
          <w:rFonts w:hint="eastAsia" w:ascii="仿宋_GB2312" w:hAnsi="Times New Roman" w:eastAsia="仿宋_GB2312"/>
          <w:sz w:val="32"/>
          <w:szCs w:val="24"/>
          <w:lang w:eastAsia="zh-CN"/>
        </w:rPr>
        <w:t>。必须招标的</w:t>
      </w:r>
      <w:r>
        <w:rPr>
          <w:rFonts w:hint="eastAsia" w:ascii="仿宋_GB2312" w:hAnsi="Times New Roman" w:eastAsia="仿宋_GB2312"/>
          <w:sz w:val="32"/>
          <w:szCs w:val="24"/>
          <w:lang w:val="en-US" w:eastAsia="zh-CN"/>
        </w:rPr>
        <w:t>工程项目</w:t>
      </w:r>
      <w:r>
        <w:rPr>
          <w:rFonts w:hint="eastAsia" w:ascii="仿宋_GB2312" w:hAnsi="Times New Roman" w:eastAsia="仿宋_GB2312"/>
          <w:sz w:val="32"/>
          <w:szCs w:val="24"/>
          <w:lang w:eastAsia="zh-CN"/>
        </w:rPr>
        <w:t>，应当在上海</w:t>
      </w:r>
      <w:r>
        <w:rPr>
          <w:rFonts w:hint="eastAsia" w:ascii="仿宋_GB2312" w:hAnsi="Times New Roman" w:eastAsia="仿宋_GB2312"/>
          <w:sz w:val="32"/>
          <w:szCs w:val="24"/>
          <w:lang w:val="en-US" w:eastAsia="zh-CN"/>
        </w:rPr>
        <w:t>市</w:t>
      </w:r>
      <w:r>
        <w:rPr>
          <w:rFonts w:hint="eastAsia" w:ascii="仿宋_GB2312" w:hAnsi="Times New Roman" w:eastAsia="仿宋_GB2312"/>
          <w:sz w:val="32"/>
          <w:szCs w:val="24"/>
          <w:lang w:eastAsia="zh-CN"/>
        </w:rPr>
        <w:t>建设工程交易服务中心或上海市住宅修缮工程招投标电子化交易平台进行全过程招标投标活动，招采具有相应资质的专业设计、施工单位实施。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olor w:val="121212"/>
          <w:sz w:val="32"/>
          <w:szCs w:val="24"/>
          <w:lang w:val="en-US" w:eastAsia="zh-CN"/>
        </w:rPr>
        <w:t>对投资额低于100万元的修缮（装修改造）工程，纳入各区属地化管理。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（四）进一步</w:t>
      </w:r>
      <w:r>
        <w:rPr>
          <w:rFonts w:hint="default" w:ascii="Times New Roman" w:hAnsi="Times New Roman" w:eastAsia="楷体_GB2312" w:cs="Times New Roman"/>
          <w:b/>
          <w:sz w:val="32"/>
          <w:szCs w:val="32"/>
          <w:lang w:val="en-US" w:eastAsia="zh-CN"/>
        </w:rPr>
        <w:t>健全保障机制</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市、区房屋行政管理部门应按照《保护条例》要求，进一步明确管理职责、落实保护责任，建立健全市、区两级组织机构，并建立相应的工作制度。对存在安全隐患的优秀历史建筑，区房屋行政管理部门应督促指导建筑的保护责任人、使用人落实保护责任。对属于老旧小区改造范围的优秀历史建筑，优先纳入改造计划并实施。</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市、区房屋行政管理部门及相关单位应保障落实日常管理、定期普查、第三方专业机构参与监管及评估等工作相关费用。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8416A3-B8A3-43B4-9890-8DC7C0E87A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80A98ED-CD8D-402F-92ED-F4251DFD746A}"/>
  </w:font>
  <w:font w:name="华文中宋">
    <w:panose1 w:val="02010600040101010101"/>
    <w:charset w:val="86"/>
    <w:family w:val="swiss"/>
    <w:pitch w:val="default"/>
    <w:sig w:usb0="00000287" w:usb1="080F0000" w:usb2="00000000" w:usb3="00000000" w:csb0="0004009F" w:csb1="DFD70000"/>
    <w:embedRegular r:id="rId3" w:fontKey="{8FFB4C32-CFE6-4C76-9157-3336633D9945}"/>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4" w:fontKey="{58F2FB28-DEF5-413F-9DA7-FD9155B261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Q0MjI1NWJjMzM0YzMxYmE3MTA1OTA2ZDEzNDNkN2QifQ=="/>
  </w:docVars>
  <w:rsids>
    <w:rsidRoot w:val="00A26564"/>
    <w:rsid w:val="00094BE8"/>
    <w:rsid w:val="000978EE"/>
    <w:rsid w:val="000A1D2F"/>
    <w:rsid w:val="000F6007"/>
    <w:rsid w:val="00100FC0"/>
    <w:rsid w:val="001147D9"/>
    <w:rsid w:val="00155467"/>
    <w:rsid w:val="00170DCE"/>
    <w:rsid w:val="001C6BA6"/>
    <w:rsid w:val="001D1E93"/>
    <w:rsid w:val="002122BB"/>
    <w:rsid w:val="0021372D"/>
    <w:rsid w:val="002179CF"/>
    <w:rsid w:val="00242629"/>
    <w:rsid w:val="002507BA"/>
    <w:rsid w:val="002806A2"/>
    <w:rsid w:val="002B1C89"/>
    <w:rsid w:val="002B4616"/>
    <w:rsid w:val="002F6B78"/>
    <w:rsid w:val="00315FFB"/>
    <w:rsid w:val="00352362"/>
    <w:rsid w:val="00360072"/>
    <w:rsid w:val="003601FE"/>
    <w:rsid w:val="00392809"/>
    <w:rsid w:val="003C0B3F"/>
    <w:rsid w:val="003D0166"/>
    <w:rsid w:val="003F1AC4"/>
    <w:rsid w:val="0045717E"/>
    <w:rsid w:val="004831EF"/>
    <w:rsid w:val="004947F8"/>
    <w:rsid w:val="004B1A77"/>
    <w:rsid w:val="004E5BE5"/>
    <w:rsid w:val="0050577F"/>
    <w:rsid w:val="00506E96"/>
    <w:rsid w:val="0051772C"/>
    <w:rsid w:val="00526837"/>
    <w:rsid w:val="005858B0"/>
    <w:rsid w:val="005B6A69"/>
    <w:rsid w:val="005D500A"/>
    <w:rsid w:val="005E17D5"/>
    <w:rsid w:val="005F7398"/>
    <w:rsid w:val="00604754"/>
    <w:rsid w:val="006679B5"/>
    <w:rsid w:val="006F0DF7"/>
    <w:rsid w:val="007303C7"/>
    <w:rsid w:val="00736F72"/>
    <w:rsid w:val="00743C3D"/>
    <w:rsid w:val="00752AA0"/>
    <w:rsid w:val="00760095"/>
    <w:rsid w:val="00786428"/>
    <w:rsid w:val="00786B1C"/>
    <w:rsid w:val="007974B7"/>
    <w:rsid w:val="007A1AA7"/>
    <w:rsid w:val="007B5058"/>
    <w:rsid w:val="007C1AAD"/>
    <w:rsid w:val="007C222D"/>
    <w:rsid w:val="007C626B"/>
    <w:rsid w:val="007E4815"/>
    <w:rsid w:val="007E5294"/>
    <w:rsid w:val="007E7FF8"/>
    <w:rsid w:val="00812725"/>
    <w:rsid w:val="00891687"/>
    <w:rsid w:val="008961E3"/>
    <w:rsid w:val="008A63D6"/>
    <w:rsid w:val="008E055A"/>
    <w:rsid w:val="00932024"/>
    <w:rsid w:val="00942CC0"/>
    <w:rsid w:val="00946AAB"/>
    <w:rsid w:val="00956898"/>
    <w:rsid w:val="0099591E"/>
    <w:rsid w:val="00997D30"/>
    <w:rsid w:val="009C34BA"/>
    <w:rsid w:val="009D693C"/>
    <w:rsid w:val="00A108D4"/>
    <w:rsid w:val="00A26564"/>
    <w:rsid w:val="00A636EB"/>
    <w:rsid w:val="00A83715"/>
    <w:rsid w:val="00A92E0E"/>
    <w:rsid w:val="00AC557C"/>
    <w:rsid w:val="00B048DF"/>
    <w:rsid w:val="00B34636"/>
    <w:rsid w:val="00B403B8"/>
    <w:rsid w:val="00B453DF"/>
    <w:rsid w:val="00B57B03"/>
    <w:rsid w:val="00B66582"/>
    <w:rsid w:val="00BC0BF3"/>
    <w:rsid w:val="00BC56CD"/>
    <w:rsid w:val="00C246A7"/>
    <w:rsid w:val="00C27767"/>
    <w:rsid w:val="00C33231"/>
    <w:rsid w:val="00C41F8C"/>
    <w:rsid w:val="00C554E9"/>
    <w:rsid w:val="00C84A1C"/>
    <w:rsid w:val="00CA105D"/>
    <w:rsid w:val="00CB21FD"/>
    <w:rsid w:val="00CF5024"/>
    <w:rsid w:val="00D14272"/>
    <w:rsid w:val="00D215B5"/>
    <w:rsid w:val="00D6440B"/>
    <w:rsid w:val="00D875E4"/>
    <w:rsid w:val="00D915AF"/>
    <w:rsid w:val="00DC7337"/>
    <w:rsid w:val="00DF11D8"/>
    <w:rsid w:val="00DF42F8"/>
    <w:rsid w:val="00DF5706"/>
    <w:rsid w:val="00E30F91"/>
    <w:rsid w:val="00E639F7"/>
    <w:rsid w:val="00E75745"/>
    <w:rsid w:val="00E82D75"/>
    <w:rsid w:val="00E91E0F"/>
    <w:rsid w:val="00EA5F7A"/>
    <w:rsid w:val="00ED083A"/>
    <w:rsid w:val="00ED20B1"/>
    <w:rsid w:val="00ED75DE"/>
    <w:rsid w:val="00EE6A1B"/>
    <w:rsid w:val="00EF3CFC"/>
    <w:rsid w:val="00F07448"/>
    <w:rsid w:val="00F26A3C"/>
    <w:rsid w:val="00F326C0"/>
    <w:rsid w:val="00F607EA"/>
    <w:rsid w:val="00F96C97"/>
    <w:rsid w:val="00FB4859"/>
    <w:rsid w:val="00FC4465"/>
    <w:rsid w:val="01B12E58"/>
    <w:rsid w:val="01D31020"/>
    <w:rsid w:val="02CB7F49"/>
    <w:rsid w:val="03443DBF"/>
    <w:rsid w:val="03AC1B29"/>
    <w:rsid w:val="043164D2"/>
    <w:rsid w:val="047168CE"/>
    <w:rsid w:val="05C360F3"/>
    <w:rsid w:val="05D331EB"/>
    <w:rsid w:val="06824A1D"/>
    <w:rsid w:val="07106873"/>
    <w:rsid w:val="072639A0"/>
    <w:rsid w:val="076971FB"/>
    <w:rsid w:val="07EA70C4"/>
    <w:rsid w:val="07EC3345"/>
    <w:rsid w:val="087C0824"/>
    <w:rsid w:val="08830B7A"/>
    <w:rsid w:val="093C01F8"/>
    <w:rsid w:val="09524F20"/>
    <w:rsid w:val="09A35F7B"/>
    <w:rsid w:val="09C3197A"/>
    <w:rsid w:val="09F2657F"/>
    <w:rsid w:val="09F9205B"/>
    <w:rsid w:val="0A0072AE"/>
    <w:rsid w:val="0A836004"/>
    <w:rsid w:val="0B0E66A0"/>
    <w:rsid w:val="0C686809"/>
    <w:rsid w:val="0CB05A65"/>
    <w:rsid w:val="0CFA1B57"/>
    <w:rsid w:val="0D1D5F20"/>
    <w:rsid w:val="0DBD41FC"/>
    <w:rsid w:val="0DEA1DEA"/>
    <w:rsid w:val="0E3D42A6"/>
    <w:rsid w:val="0F5B5741"/>
    <w:rsid w:val="10093E5F"/>
    <w:rsid w:val="11A413E1"/>
    <w:rsid w:val="12082A6F"/>
    <w:rsid w:val="13964441"/>
    <w:rsid w:val="166334B5"/>
    <w:rsid w:val="16A46F2C"/>
    <w:rsid w:val="16A67B5B"/>
    <w:rsid w:val="17C10F81"/>
    <w:rsid w:val="17E21B65"/>
    <w:rsid w:val="18994E77"/>
    <w:rsid w:val="19D13C3F"/>
    <w:rsid w:val="19EE3CD8"/>
    <w:rsid w:val="19F933DC"/>
    <w:rsid w:val="1A9554A2"/>
    <w:rsid w:val="1BC81072"/>
    <w:rsid w:val="1CD53A47"/>
    <w:rsid w:val="1E7F0CC8"/>
    <w:rsid w:val="1E873CC8"/>
    <w:rsid w:val="1F722C30"/>
    <w:rsid w:val="1F8E612F"/>
    <w:rsid w:val="2009030D"/>
    <w:rsid w:val="20D144F6"/>
    <w:rsid w:val="20F64376"/>
    <w:rsid w:val="21311468"/>
    <w:rsid w:val="221C5C74"/>
    <w:rsid w:val="229B7FB0"/>
    <w:rsid w:val="22D62815"/>
    <w:rsid w:val="250F5EEC"/>
    <w:rsid w:val="2564005E"/>
    <w:rsid w:val="256D37F8"/>
    <w:rsid w:val="25D72147"/>
    <w:rsid w:val="26E337E3"/>
    <w:rsid w:val="27B01338"/>
    <w:rsid w:val="282E102A"/>
    <w:rsid w:val="28D10173"/>
    <w:rsid w:val="296E4694"/>
    <w:rsid w:val="2AC56BDF"/>
    <w:rsid w:val="2ACE4D78"/>
    <w:rsid w:val="2B463D16"/>
    <w:rsid w:val="2B5252B0"/>
    <w:rsid w:val="2B56224E"/>
    <w:rsid w:val="2B9C3BC7"/>
    <w:rsid w:val="2B9D57F5"/>
    <w:rsid w:val="2CE4278A"/>
    <w:rsid w:val="2D9B5A29"/>
    <w:rsid w:val="2F2D14C0"/>
    <w:rsid w:val="2F383732"/>
    <w:rsid w:val="318E05E7"/>
    <w:rsid w:val="31C53C32"/>
    <w:rsid w:val="323B4E0C"/>
    <w:rsid w:val="32892EB1"/>
    <w:rsid w:val="33785759"/>
    <w:rsid w:val="3394008E"/>
    <w:rsid w:val="34C208FD"/>
    <w:rsid w:val="34F33640"/>
    <w:rsid w:val="36824DFC"/>
    <w:rsid w:val="36A54B7E"/>
    <w:rsid w:val="373E0BDD"/>
    <w:rsid w:val="38061B1B"/>
    <w:rsid w:val="399D7513"/>
    <w:rsid w:val="39CD5FFB"/>
    <w:rsid w:val="3B9479F8"/>
    <w:rsid w:val="3BD72EE0"/>
    <w:rsid w:val="3C345017"/>
    <w:rsid w:val="3C446FEF"/>
    <w:rsid w:val="3E695BB7"/>
    <w:rsid w:val="3F3D79D4"/>
    <w:rsid w:val="3F5577CE"/>
    <w:rsid w:val="40E85E9C"/>
    <w:rsid w:val="416C5E78"/>
    <w:rsid w:val="41E24A71"/>
    <w:rsid w:val="42021526"/>
    <w:rsid w:val="43BE6733"/>
    <w:rsid w:val="43CE63B7"/>
    <w:rsid w:val="448E4357"/>
    <w:rsid w:val="44F74772"/>
    <w:rsid w:val="455E788F"/>
    <w:rsid w:val="4669507C"/>
    <w:rsid w:val="46794D98"/>
    <w:rsid w:val="46C40504"/>
    <w:rsid w:val="47DC7BB5"/>
    <w:rsid w:val="48B268BC"/>
    <w:rsid w:val="4A02485B"/>
    <w:rsid w:val="4A3E56F7"/>
    <w:rsid w:val="4BE40A5E"/>
    <w:rsid w:val="4C023FD0"/>
    <w:rsid w:val="4D92750F"/>
    <w:rsid w:val="4E071F2C"/>
    <w:rsid w:val="4F0B04A7"/>
    <w:rsid w:val="4FA34C07"/>
    <w:rsid w:val="4FEE1596"/>
    <w:rsid w:val="502E5D0D"/>
    <w:rsid w:val="50651F27"/>
    <w:rsid w:val="51770B06"/>
    <w:rsid w:val="51D929CA"/>
    <w:rsid w:val="53683F40"/>
    <w:rsid w:val="538B3219"/>
    <w:rsid w:val="539C4FD1"/>
    <w:rsid w:val="554015E9"/>
    <w:rsid w:val="55524F2D"/>
    <w:rsid w:val="55684751"/>
    <w:rsid w:val="56D12A3B"/>
    <w:rsid w:val="571B47B6"/>
    <w:rsid w:val="57720FDC"/>
    <w:rsid w:val="57AE2E53"/>
    <w:rsid w:val="57F70E07"/>
    <w:rsid w:val="58182029"/>
    <w:rsid w:val="58555402"/>
    <w:rsid w:val="590E56B9"/>
    <w:rsid w:val="59144BB5"/>
    <w:rsid w:val="59313E2B"/>
    <w:rsid w:val="5A2E45A2"/>
    <w:rsid w:val="5A571D86"/>
    <w:rsid w:val="5AAD4D5A"/>
    <w:rsid w:val="5AE66844"/>
    <w:rsid w:val="5B3571DC"/>
    <w:rsid w:val="5BA73A2E"/>
    <w:rsid w:val="5C834536"/>
    <w:rsid w:val="5CE600A7"/>
    <w:rsid w:val="5D2D5C24"/>
    <w:rsid w:val="5D735789"/>
    <w:rsid w:val="5F3F0A74"/>
    <w:rsid w:val="60522285"/>
    <w:rsid w:val="60AD570E"/>
    <w:rsid w:val="6151303D"/>
    <w:rsid w:val="617F24FC"/>
    <w:rsid w:val="63621E4C"/>
    <w:rsid w:val="639156C1"/>
    <w:rsid w:val="63EF2EA2"/>
    <w:rsid w:val="649E1565"/>
    <w:rsid w:val="64BF7C53"/>
    <w:rsid w:val="64D14795"/>
    <w:rsid w:val="65056B43"/>
    <w:rsid w:val="65D73958"/>
    <w:rsid w:val="665C60D3"/>
    <w:rsid w:val="669B5DAE"/>
    <w:rsid w:val="67564D51"/>
    <w:rsid w:val="67713D4A"/>
    <w:rsid w:val="69237620"/>
    <w:rsid w:val="699B4C9D"/>
    <w:rsid w:val="6A964516"/>
    <w:rsid w:val="6AA24CE8"/>
    <w:rsid w:val="6B423D2D"/>
    <w:rsid w:val="6C4B6506"/>
    <w:rsid w:val="6D857E51"/>
    <w:rsid w:val="6DF350A8"/>
    <w:rsid w:val="6F9C3F42"/>
    <w:rsid w:val="70133219"/>
    <w:rsid w:val="70461018"/>
    <w:rsid w:val="72194AEF"/>
    <w:rsid w:val="728E3F26"/>
    <w:rsid w:val="730A3CDE"/>
    <w:rsid w:val="734F6F72"/>
    <w:rsid w:val="74934EEE"/>
    <w:rsid w:val="749A2689"/>
    <w:rsid w:val="74AE7F7A"/>
    <w:rsid w:val="74F12C61"/>
    <w:rsid w:val="752B3EBA"/>
    <w:rsid w:val="75894543"/>
    <w:rsid w:val="75C64E50"/>
    <w:rsid w:val="767C19B2"/>
    <w:rsid w:val="76AF235A"/>
    <w:rsid w:val="775A0153"/>
    <w:rsid w:val="77707657"/>
    <w:rsid w:val="77B05DB7"/>
    <w:rsid w:val="788A03B6"/>
    <w:rsid w:val="78BB46F9"/>
    <w:rsid w:val="79777D1B"/>
    <w:rsid w:val="7A202934"/>
    <w:rsid w:val="7A697D45"/>
    <w:rsid w:val="7B486159"/>
    <w:rsid w:val="7C391D77"/>
    <w:rsid w:val="7E8417AB"/>
    <w:rsid w:val="7EF05C06"/>
    <w:rsid w:val="7FF9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style>
  <w:style w:type="paragraph" w:customStyle="1" w:styleId="3">
    <w:name w:val="BodyTextIndent"/>
    <w:basedOn w:val="1"/>
    <w:next w:val="4"/>
    <w:qFormat/>
    <w:uiPriority w:val="0"/>
    <w:pPr>
      <w:spacing w:line="580" w:lineRule="exact"/>
      <w:ind w:firstLine="200" w:firstLineChars="200"/>
      <w:jc w:val="both"/>
      <w:textAlignment w:val="baseline"/>
    </w:pPr>
  </w:style>
  <w:style w:type="paragraph" w:styleId="4">
    <w:name w:val="header"/>
    <w:basedOn w:val="1"/>
    <w:next w:val="5"/>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er"/>
    <w:basedOn w:val="1"/>
    <w:next w:val="1"/>
    <w:link w:val="13"/>
    <w:semiHidden/>
    <w:unhideWhenUsed/>
    <w:qFormat/>
    <w:uiPriority w:val="99"/>
    <w:pPr>
      <w:tabs>
        <w:tab w:val="center" w:pos="4153"/>
        <w:tab w:val="right" w:pos="8306"/>
      </w:tabs>
      <w:snapToGrid w:val="0"/>
      <w:jc w:val="left"/>
    </w:pPr>
    <w:rPr>
      <w:sz w:val="18"/>
      <w:szCs w:val="18"/>
    </w:rPr>
  </w:style>
  <w:style w:type="paragraph" w:styleId="6">
    <w:name w:val="Body Text"/>
    <w:basedOn w:val="1"/>
    <w:unhideWhenUsed/>
    <w:qFormat/>
    <w:uiPriority w:val="1"/>
    <w:pPr>
      <w:spacing w:before="55"/>
      <w:ind w:left="118"/>
    </w:pPr>
    <w:rPr>
      <w:rFonts w:hint="eastAsia" w:ascii="仿宋_GB2312" w:hAnsi="仿宋_GB2312" w:eastAsia="仿宋_GB2312"/>
      <w:sz w:val="28"/>
      <w:szCs w:val="24"/>
    </w:rPr>
  </w:style>
  <w:style w:type="paragraph" w:styleId="7">
    <w:name w:val="Normal (Web)"/>
    <w:basedOn w:val="1"/>
    <w:semiHidden/>
    <w:unhideWhenUsed/>
    <w:uiPriority w:val="99"/>
    <w:rPr>
      <w:sz w:val="24"/>
    </w:rPr>
  </w:style>
  <w:style w:type="character" w:styleId="10">
    <w:name w:val="Strong"/>
    <w:basedOn w:val="9"/>
    <w:qFormat/>
    <w:uiPriority w:val="22"/>
    <w:rPr>
      <w:b/>
    </w:rPr>
  </w:style>
  <w:style w:type="character" w:styleId="11">
    <w:name w:val="Emphasis"/>
    <w:basedOn w:val="9"/>
    <w:qFormat/>
    <w:uiPriority w:val="20"/>
    <w:rPr>
      <w:i/>
    </w:rPr>
  </w:style>
  <w:style w:type="character" w:customStyle="1" w:styleId="12">
    <w:name w:val="页眉 Char"/>
    <w:basedOn w:val="9"/>
    <w:link w:val="4"/>
    <w:semiHidden/>
    <w:qFormat/>
    <w:uiPriority w:val="99"/>
    <w:rPr>
      <w:sz w:val="18"/>
      <w:szCs w:val="18"/>
    </w:rPr>
  </w:style>
  <w:style w:type="character" w:customStyle="1" w:styleId="13">
    <w:name w:val="页脚 Char"/>
    <w:basedOn w:val="9"/>
    <w:link w:val="5"/>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华文中宋" w:hAnsi="华文中宋" w:cs="华文中宋" w:eastAsiaTheme="minorEastAsia"/>
      <w:color w:val="000000"/>
      <w:kern w:val="0"/>
      <w:sz w:val="24"/>
      <w:szCs w:val="24"/>
      <w:lang w:val="en-US" w:eastAsia="zh-CN" w:bidi="ar-SA"/>
    </w:rPr>
  </w:style>
  <w:style w:type="paragraph" w:customStyle="1" w:styleId="16">
    <w:name w:val="表格内容"/>
    <w:basedOn w:val="1"/>
    <w:qFormat/>
    <w:uiPriority w:val="0"/>
    <w:pPr>
      <w:adjustRightInd w:val="0"/>
      <w:spacing w:line="640" w:lineRule="exact"/>
      <w:jc w:val="center"/>
    </w:pPr>
    <w:rPr>
      <w:rFonts w:ascii="仿宋" w:hAnsi="仿宋" w:eastAsia="仿宋" w:cs="Times New Roman"/>
      <w:sz w:val="28"/>
      <w:szCs w:val="28"/>
    </w:rPr>
  </w:style>
  <w:style w:type="paragraph" w:customStyle="1" w:styleId="17">
    <w:name w:val="表格标题"/>
    <w:basedOn w:val="1"/>
    <w:qFormat/>
    <w:uiPriority w:val="0"/>
    <w:pPr>
      <w:jc w:val="center"/>
      <w:outlineLvl w:val="0"/>
    </w:pPr>
    <w:rPr>
      <w:rFonts w:ascii="仿宋_GB2312" w:hAnsi="Times New Roman" w:eastAsia="宋体" w:cs="Times New Roman"/>
      <w:w w:val="90"/>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833</Words>
  <Characters>853</Characters>
  <Lines>13</Lines>
  <Paragraphs>3</Paragraphs>
  <TotalTime>3</TotalTime>
  <ScaleCrop>false</ScaleCrop>
  <LinksUpToDate>false</LinksUpToDate>
  <CharactersWithSpaces>853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2019-07-15T07:32:00Z</dcterms:created>
  <dc:creator>lenovo</dc:creator>
  <cp:lastModifiedBy>28155</cp:lastModifiedBy>
  <cp:lastPrinted>2025-06-18T08:41:00Z</cp:lastPrinted>
  <dcterms:modified xsi:type="dcterms:W3CDTF">2025-06-19T08:38:00Z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4F42D43897BD4770B3173E04F3F93569_12</vt:lpwstr>
  </property>
  <property fmtid="{D5CDD505-2E9C-101B-9397-08002B2CF9AE}" pid="4" name="KSOTemplateDocerSaveRecord">
    <vt:lpwstr>eyJoZGlkIjoiZjhiMzY0MWY5YzM2OTU2OGFmZTI1OWJiZWU2ZGQ0YTkiLCJ1c2VySWQiOiIyODg3ODIwMjkifQ==</vt:lpwstr>
  </property>
</Properties>
</file>