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  <w:t>上海市中央财政支持住房租赁市场发展试点资金申请表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华文中宋" w:eastAsia="楷体_GB2312" w:cs="Times New Roman"/>
          <w:b/>
          <w:sz w:val="32"/>
          <w:szCs w:val="32"/>
        </w:rPr>
      </w:pPr>
      <w:r>
        <w:rPr>
          <w:rFonts w:hint="eastAsia" w:ascii="楷体_GB2312" w:hAnsi="华文中宋" w:eastAsia="楷体_GB2312" w:cs="Times New Roman"/>
          <w:b/>
          <w:sz w:val="32"/>
          <w:szCs w:val="32"/>
        </w:rPr>
        <w:t>（贷款贴息）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518"/>
        <w:gridCol w:w="1364"/>
        <w:gridCol w:w="167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8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实际利息支出的发生时间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实际利息支出金额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实际利息支出对应的贷款金额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5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中央资金，转移、侵占、挪用中央资金等行为的，将承担相应的法律责任，并退回已补贴的资金。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67CE7"/>
    <w:rsid w:val="4DC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2021-10-15T10:56:27Z</dcterms:created>
  <dc:creator>Administrator</dc:creator>
  <cp:lastModifiedBy>哈可</cp:lastModifiedBy>
  <dcterms:modified xsi:type="dcterms:W3CDTF">2021-10-15T10:56:43Z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